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  <w:r w:rsidRPr="00E25690">
        <w:rPr>
          <w:rFonts w:ascii="Arial" w:hAnsi="Arial" w:cs="Arial"/>
          <w:b/>
          <w:bCs/>
        </w:rPr>
        <w:t>APPROPRIATION (2018) (AMENDMENT) BILL, 2018</w:t>
      </w: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  <w:r w:rsidRPr="00E25690">
        <w:rPr>
          <w:rFonts w:ascii="Arial" w:hAnsi="Arial" w:cs="Arial"/>
          <w:b/>
          <w:bCs/>
        </w:rPr>
        <w:t>EXPLANATORY NOTES</w:t>
      </w: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  <w:bCs/>
        </w:rPr>
        <w:t xml:space="preserve">This Bill seeks to </w:t>
      </w:r>
      <w:r w:rsidRPr="00E25690">
        <w:rPr>
          <w:rFonts w:ascii="Arial" w:hAnsi="Arial" w:cs="Arial"/>
        </w:rPr>
        <w:t xml:space="preserve">amend the Appropriation (2018) Act, 2017 to reallocate the sum not exceeding one billion, one hundred and twelve million, thirty-nine thousand, nine hundred and thirty-eight dollars </w:t>
      </w:r>
      <w:r w:rsidRPr="00E25690">
        <w:rPr>
          <w:rFonts w:ascii="Arial" w:hAnsi="Arial" w:cs="Arial"/>
          <w:b/>
        </w:rPr>
        <w:t>($1,112,039,938.00</w:t>
      </w:r>
      <w:r w:rsidRPr="00E25690">
        <w:rPr>
          <w:rFonts w:ascii="Arial" w:hAnsi="Arial" w:cs="Arial"/>
          <w:b/>
          <w:bCs/>
        </w:rPr>
        <w:t>)</w:t>
      </w:r>
      <w:r w:rsidRPr="00E25690">
        <w:rPr>
          <w:rFonts w:ascii="Arial" w:hAnsi="Arial" w:cs="Arial"/>
        </w:rPr>
        <w:t xml:space="preserve"> as appropriated by the Appropriation (2018) Act, 2017 for the service of the State of Grenada for the period January 1</w:t>
      </w:r>
      <w:r w:rsidRPr="00E25690">
        <w:rPr>
          <w:rFonts w:ascii="Arial" w:hAnsi="Arial" w:cs="Arial"/>
          <w:vertAlign w:val="superscript"/>
        </w:rPr>
        <w:t>st</w:t>
      </w:r>
      <w:r w:rsidRPr="00E25690">
        <w:rPr>
          <w:rFonts w:ascii="Arial" w:hAnsi="Arial" w:cs="Arial"/>
        </w:rPr>
        <w:t xml:space="preserve"> to December 31</w:t>
      </w:r>
      <w:r w:rsidRPr="00E25690">
        <w:rPr>
          <w:rFonts w:ascii="Arial" w:hAnsi="Arial" w:cs="Arial"/>
          <w:vertAlign w:val="superscript"/>
        </w:rPr>
        <w:t>st</w:t>
      </w:r>
      <w:r w:rsidRPr="00E25690">
        <w:rPr>
          <w:rFonts w:ascii="Arial" w:hAnsi="Arial" w:cs="Arial"/>
        </w:rPr>
        <w:t xml:space="preserve"> 2018 to facilitate the </w:t>
      </w:r>
      <w:proofErr w:type="spellStart"/>
      <w:r w:rsidRPr="00E25690">
        <w:rPr>
          <w:rFonts w:ascii="Arial" w:hAnsi="Arial" w:cs="Arial"/>
        </w:rPr>
        <w:t>reorganisation</w:t>
      </w:r>
      <w:proofErr w:type="spellEnd"/>
      <w:r w:rsidRPr="00E25690">
        <w:rPr>
          <w:rFonts w:ascii="Arial" w:hAnsi="Arial" w:cs="Arial"/>
        </w:rPr>
        <w:t xml:space="preserve"> of the Expenditure Votes to reflect the Ministerial Portfolios as effected on March 29</w:t>
      </w:r>
      <w:r w:rsidRPr="00E25690">
        <w:rPr>
          <w:rFonts w:ascii="Arial" w:hAnsi="Arial" w:cs="Arial"/>
          <w:vertAlign w:val="superscript"/>
        </w:rPr>
        <w:t>th</w:t>
      </w:r>
      <w:r w:rsidRPr="00E25690">
        <w:rPr>
          <w:rFonts w:ascii="Arial" w:hAnsi="Arial" w:cs="Arial"/>
        </w:rPr>
        <w:t xml:space="preserve"> 2018.</w:t>
      </w:r>
    </w:p>
    <w:p w:rsidR="008418BB" w:rsidRPr="00E25690" w:rsidRDefault="008418BB" w:rsidP="00E25690">
      <w:pPr>
        <w:jc w:val="both"/>
        <w:rPr>
          <w:rFonts w:ascii="Arial" w:hAnsi="Arial" w:cs="Arial"/>
        </w:rPr>
      </w:pPr>
    </w:p>
    <w:p w:rsidR="008418BB" w:rsidRPr="00E25690" w:rsidRDefault="008418BB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  <w:b/>
        </w:rPr>
        <w:t>Clause 1</w:t>
      </w:r>
      <w:r w:rsidRPr="00E25690">
        <w:rPr>
          <w:rFonts w:ascii="Arial" w:hAnsi="Arial" w:cs="Arial"/>
        </w:rPr>
        <w:t xml:space="preserve"> sets out the short title of the Act for which this is the Bill.</w:t>
      </w:r>
    </w:p>
    <w:p w:rsidR="008418BB" w:rsidRPr="00E25690" w:rsidRDefault="008418BB" w:rsidP="00E25690">
      <w:pPr>
        <w:jc w:val="both"/>
        <w:rPr>
          <w:rFonts w:ascii="Arial" w:hAnsi="Arial" w:cs="Arial"/>
        </w:rPr>
      </w:pPr>
    </w:p>
    <w:p w:rsidR="008418BB" w:rsidRPr="00E25690" w:rsidRDefault="008418BB" w:rsidP="00E25690">
      <w:pPr>
        <w:jc w:val="both"/>
        <w:rPr>
          <w:rFonts w:ascii="Arial" w:hAnsi="Arial" w:cs="Arial"/>
          <w:b/>
          <w:bCs/>
        </w:rPr>
      </w:pPr>
      <w:r w:rsidRPr="00E25690">
        <w:rPr>
          <w:rFonts w:ascii="Arial" w:hAnsi="Arial" w:cs="Arial"/>
          <w:b/>
        </w:rPr>
        <w:t>Clause 2</w:t>
      </w:r>
      <w:r w:rsidRPr="00E25690">
        <w:rPr>
          <w:rFonts w:ascii="Arial" w:hAnsi="Arial" w:cs="Arial"/>
        </w:rPr>
        <w:t xml:space="preserve"> seeks to repeal the Schedule and replace it with a new Schedule that reflects </w:t>
      </w:r>
      <w:r w:rsidR="00F14D19" w:rsidRPr="00E25690">
        <w:rPr>
          <w:rFonts w:ascii="Arial" w:hAnsi="Arial" w:cs="Arial"/>
        </w:rPr>
        <w:t>the</w:t>
      </w:r>
      <w:r w:rsidRPr="00E25690">
        <w:rPr>
          <w:rFonts w:ascii="Arial" w:hAnsi="Arial" w:cs="Arial"/>
        </w:rPr>
        <w:t xml:space="preserve"> adjustments to the Ministerial Portfolios as effected on March 29</w:t>
      </w:r>
      <w:r w:rsidRPr="00E25690">
        <w:rPr>
          <w:rFonts w:ascii="Arial" w:hAnsi="Arial" w:cs="Arial"/>
          <w:vertAlign w:val="superscript"/>
        </w:rPr>
        <w:t>th</w:t>
      </w:r>
      <w:proofErr w:type="gramStart"/>
      <w:r w:rsidRPr="00E25690">
        <w:rPr>
          <w:rFonts w:ascii="Arial" w:hAnsi="Arial" w:cs="Arial"/>
        </w:rPr>
        <w:t xml:space="preserve"> 2018</w:t>
      </w:r>
      <w:proofErr w:type="gramEnd"/>
      <w:r w:rsidRPr="00E25690">
        <w:rPr>
          <w:rFonts w:ascii="Arial" w:hAnsi="Arial" w:cs="Arial"/>
        </w:rPr>
        <w:t>.</w:t>
      </w: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right"/>
        <w:rPr>
          <w:rFonts w:ascii="Arial" w:hAnsi="Arial" w:cs="Arial"/>
        </w:rPr>
      </w:pPr>
      <w:r w:rsidRPr="00E25690">
        <w:rPr>
          <w:rFonts w:ascii="Arial" w:hAnsi="Arial" w:cs="Arial"/>
        </w:rPr>
        <w:t>………………………………….………</w:t>
      </w:r>
    </w:p>
    <w:p w:rsidR="001A42F0" w:rsidRPr="00E25690" w:rsidRDefault="001A42F0" w:rsidP="00E25690">
      <w:pPr>
        <w:pStyle w:val="ListParagraph"/>
        <w:ind w:left="1080"/>
        <w:jc w:val="right"/>
        <w:rPr>
          <w:rFonts w:ascii="Arial" w:hAnsi="Arial" w:cs="Arial"/>
          <w:sz w:val="24"/>
          <w:szCs w:val="24"/>
        </w:rPr>
      </w:pPr>
      <w:r w:rsidRPr="00E25690">
        <w:rPr>
          <w:rFonts w:ascii="Arial" w:hAnsi="Arial" w:cs="Arial"/>
          <w:sz w:val="24"/>
          <w:szCs w:val="24"/>
        </w:rPr>
        <w:t>Sir Lawrence A. Joseph, PhD</w:t>
      </w:r>
    </w:p>
    <w:p w:rsidR="001A42F0" w:rsidRPr="00E25690" w:rsidRDefault="001A42F0" w:rsidP="00E25690">
      <w:pPr>
        <w:jc w:val="right"/>
        <w:rPr>
          <w:rFonts w:ascii="Arial" w:hAnsi="Arial" w:cs="Arial"/>
          <w:b/>
        </w:rPr>
      </w:pPr>
      <w:r w:rsidRPr="00E25690">
        <w:rPr>
          <w:rFonts w:ascii="Arial" w:hAnsi="Arial" w:cs="Arial"/>
          <w:b/>
        </w:rPr>
        <w:t>ATTORNEY-GENERAL</w:t>
      </w: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Default="001A42F0" w:rsidP="00E25690">
      <w:pPr>
        <w:jc w:val="center"/>
        <w:rPr>
          <w:rFonts w:ascii="Arial" w:hAnsi="Arial" w:cs="Arial"/>
          <w:b/>
        </w:rPr>
      </w:pPr>
    </w:p>
    <w:p w:rsidR="00735DFF" w:rsidRDefault="00735DFF" w:rsidP="00E25690">
      <w:pPr>
        <w:jc w:val="center"/>
        <w:rPr>
          <w:rFonts w:ascii="Arial" w:hAnsi="Arial" w:cs="Arial"/>
          <w:b/>
        </w:rPr>
      </w:pPr>
    </w:p>
    <w:p w:rsidR="00735DFF" w:rsidRDefault="00735DFF" w:rsidP="00E25690">
      <w:pPr>
        <w:jc w:val="center"/>
        <w:rPr>
          <w:rFonts w:ascii="Arial" w:hAnsi="Arial" w:cs="Arial"/>
          <w:b/>
        </w:rPr>
      </w:pPr>
    </w:p>
    <w:p w:rsidR="00735DFF" w:rsidRPr="00E25690" w:rsidRDefault="00735DFF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  <w:r w:rsidRPr="00E25690">
        <w:rPr>
          <w:rFonts w:ascii="Arial" w:hAnsi="Arial" w:cs="Arial"/>
          <w:b/>
          <w:bCs/>
        </w:rPr>
        <w:t>APPROPRIATION (2018) (AMENDMENT) BILL, 2018</w:t>
      </w: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  <w:r w:rsidRPr="00E25690">
        <w:rPr>
          <w:rFonts w:ascii="Arial" w:hAnsi="Arial" w:cs="Arial"/>
          <w:b/>
          <w:bCs/>
        </w:rPr>
        <w:t>ARRANGEMENT OF CLAUSES</w:t>
      </w:r>
    </w:p>
    <w:p w:rsidR="001A42F0" w:rsidRPr="00E25690" w:rsidRDefault="001A42F0" w:rsidP="00E25690">
      <w:pPr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rPr>
          <w:rFonts w:ascii="Arial" w:hAnsi="Arial" w:cs="Arial"/>
          <w:bCs/>
        </w:rPr>
      </w:pPr>
      <w:r w:rsidRPr="00E25690">
        <w:rPr>
          <w:rFonts w:ascii="Arial" w:hAnsi="Arial" w:cs="Arial"/>
          <w:bCs/>
        </w:rPr>
        <w:t>1.</w:t>
      </w:r>
      <w:r w:rsidRPr="00E25690">
        <w:rPr>
          <w:rFonts w:ascii="Arial" w:hAnsi="Arial" w:cs="Arial"/>
          <w:bCs/>
        </w:rPr>
        <w:tab/>
        <w:t>Short title</w:t>
      </w:r>
    </w:p>
    <w:p w:rsidR="001A42F0" w:rsidRPr="00E25690" w:rsidRDefault="001A42F0" w:rsidP="00E25690">
      <w:pPr>
        <w:rPr>
          <w:rFonts w:ascii="Arial" w:hAnsi="Arial" w:cs="Arial"/>
          <w:bCs/>
        </w:rPr>
      </w:pPr>
    </w:p>
    <w:p w:rsidR="001A42F0" w:rsidRPr="00E25690" w:rsidRDefault="001A42F0" w:rsidP="00E25690">
      <w:pPr>
        <w:rPr>
          <w:rFonts w:ascii="Arial" w:hAnsi="Arial" w:cs="Arial"/>
          <w:bCs/>
        </w:rPr>
      </w:pPr>
      <w:r w:rsidRPr="00E25690">
        <w:rPr>
          <w:rFonts w:ascii="Arial" w:hAnsi="Arial" w:cs="Arial"/>
          <w:bCs/>
        </w:rPr>
        <w:t>2.</w:t>
      </w:r>
      <w:r w:rsidRPr="00E25690">
        <w:rPr>
          <w:rFonts w:ascii="Arial" w:hAnsi="Arial" w:cs="Arial"/>
          <w:bCs/>
        </w:rPr>
        <w:tab/>
        <w:t>Amendment of Schedule to principal Act</w:t>
      </w: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1A42F0" w:rsidRPr="00E25690" w:rsidRDefault="001A42F0" w:rsidP="00E25690">
      <w:pPr>
        <w:jc w:val="center"/>
        <w:rPr>
          <w:rFonts w:ascii="Arial" w:hAnsi="Arial" w:cs="Arial"/>
          <w:b/>
          <w:bCs/>
        </w:rPr>
      </w:pPr>
    </w:p>
    <w:p w:rsidR="000502E5" w:rsidRPr="00E25690" w:rsidRDefault="00E67168" w:rsidP="00E25690">
      <w:pPr>
        <w:jc w:val="center"/>
        <w:rPr>
          <w:rFonts w:ascii="Arial" w:hAnsi="Arial" w:cs="Arial"/>
          <w:b/>
          <w:bCs/>
        </w:rPr>
      </w:pPr>
      <w:r w:rsidRPr="00E25690">
        <w:rPr>
          <w:rFonts w:ascii="Arial" w:hAnsi="Arial" w:cs="Arial"/>
          <w:b/>
          <w:bCs/>
        </w:rPr>
        <w:t>APPROPRIATION</w:t>
      </w:r>
      <w:r w:rsidR="000D6A4A" w:rsidRPr="00E25690">
        <w:rPr>
          <w:rFonts w:ascii="Arial" w:hAnsi="Arial" w:cs="Arial"/>
          <w:b/>
          <w:bCs/>
        </w:rPr>
        <w:t xml:space="preserve"> (201</w:t>
      </w:r>
      <w:r w:rsidR="00654E7A" w:rsidRPr="00E25690">
        <w:rPr>
          <w:rFonts w:ascii="Arial" w:hAnsi="Arial" w:cs="Arial"/>
          <w:b/>
          <w:bCs/>
        </w:rPr>
        <w:t>8</w:t>
      </w:r>
      <w:r w:rsidR="000D6A4A" w:rsidRPr="00E25690">
        <w:rPr>
          <w:rFonts w:ascii="Arial" w:hAnsi="Arial" w:cs="Arial"/>
          <w:b/>
          <w:bCs/>
        </w:rPr>
        <w:t>)</w:t>
      </w:r>
      <w:r w:rsidRPr="00E25690">
        <w:rPr>
          <w:rFonts w:ascii="Arial" w:hAnsi="Arial" w:cs="Arial"/>
          <w:b/>
          <w:bCs/>
        </w:rPr>
        <w:t xml:space="preserve"> </w:t>
      </w:r>
      <w:r w:rsidR="00CF6385" w:rsidRPr="00E25690">
        <w:rPr>
          <w:rFonts w:ascii="Arial" w:hAnsi="Arial" w:cs="Arial"/>
          <w:b/>
          <w:bCs/>
        </w:rPr>
        <w:t xml:space="preserve">(AMENDMENT) </w:t>
      </w:r>
      <w:r w:rsidRPr="00E25690">
        <w:rPr>
          <w:rFonts w:ascii="Arial" w:hAnsi="Arial" w:cs="Arial"/>
          <w:b/>
          <w:bCs/>
        </w:rPr>
        <w:t xml:space="preserve">BILL, </w:t>
      </w:r>
      <w:r w:rsidR="00CF6385" w:rsidRPr="00E25690">
        <w:rPr>
          <w:rFonts w:ascii="Arial" w:hAnsi="Arial" w:cs="Arial"/>
          <w:b/>
          <w:bCs/>
        </w:rPr>
        <w:t>2018</w:t>
      </w:r>
    </w:p>
    <w:p w:rsidR="00E67168" w:rsidRPr="00E25690" w:rsidRDefault="00E67168" w:rsidP="00E25690">
      <w:pPr>
        <w:jc w:val="center"/>
        <w:rPr>
          <w:rFonts w:ascii="Arial" w:hAnsi="Arial" w:cs="Arial"/>
          <w:b/>
          <w:bCs/>
        </w:rPr>
      </w:pPr>
    </w:p>
    <w:p w:rsidR="008934AE" w:rsidRPr="00E25690" w:rsidRDefault="008934AE" w:rsidP="00E25690">
      <w:pPr>
        <w:jc w:val="center"/>
        <w:rPr>
          <w:rFonts w:ascii="Arial" w:hAnsi="Arial" w:cs="Arial"/>
          <w:b/>
          <w:bCs/>
        </w:rPr>
      </w:pPr>
    </w:p>
    <w:p w:rsidR="000502E5" w:rsidRPr="00E25690" w:rsidRDefault="000502E5" w:rsidP="00E25690">
      <w:pPr>
        <w:jc w:val="center"/>
        <w:rPr>
          <w:rFonts w:ascii="Arial" w:hAnsi="Arial" w:cs="Arial"/>
          <w:b/>
          <w:bCs/>
        </w:rPr>
      </w:pPr>
      <w:r w:rsidRPr="00E25690">
        <w:rPr>
          <w:rFonts w:ascii="Arial" w:hAnsi="Arial" w:cs="Arial"/>
          <w:b/>
          <w:bCs/>
        </w:rPr>
        <w:t>GRENADA</w:t>
      </w:r>
    </w:p>
    <w:p w:rsidR="00E67168" w:rsidRPr="00E25690" w:rsidRDefault="00E67168" w:rsidP="00E25690">
      <w:pPr>
        <w:jc w:val="center"/>
        <w:rPr>
          <w:rFonts w:ascii="Arial" w:hAnsi="Arial" w:cs="Arial"/>
          <w:b/>
          <w:bCs/>
        </w:rPr>
      </w:pPr>
    </w:p>
    <w:p w:rsidR="000A5645" w:rsidRPr="00E25690" w:rsidRDefault="000A5645" w:rsidP="00E25690">
      <w:pPr>
        <w:jc w:val="center"/>
        <w:rPr>
          <w:rFonts w:ascii="Arial" w:hAnsi="Arial" w:cs="Arial"/>
          <w:b/>
          <w:bCs/>
        </w:rPr>
      </w:pPr>
    </w:p>
    <w:p w:rsidR="00E67168" w:rsidRPr="00E25690" w:rsidRDefault="009214E7" w:rsidP="00E25690">
      <w:pPr>
        <w:jc w:val="center"/>
        <w:rPr>
          <w:rFonts w:ascii="Arial" w:hAnsi="Arial" w:cs="Arial"/>
          <w:b/>
          <w:bCs/>
        </w:rPr>
      </w:pPr>
      <w:r w:rsidRPr="00E25690">
        <w:rPr>
          <w:rFonts w:ascii="Arial" w:hAnsi="Arial" w:cs="Arial"/>
          <w:b/>
          <w:bCs/>
        </w:rPr>
        <w:t xml:space="preserve">ACT </w:t>
      </w:r>
      <w:r w:rsidR="00E67168" w:rsidRPr="00E25690">
        <w:rPr>
          <w:rFonts w:ascii="Arial" w:hAnsi="Arial" w:cs="Arial"/>
          <w:b/>
          <w:bCs/>
        </w:rPr>
        <w:t xml:space="preserve">NO.    OF </w:t>
      </w:r>
      <w:r w:rsidR="00CF6385" w:rsidRPr="00E25690">
        <w:rPr>
          <w:rFonts w:ascii="Arial" w:hAnsi="Arial" w:cs="Arial"/>
          <w:b/>
          <w:bCs/>
        </w:rPr>
        <w:t>2018</w:t>
      </w:r>
    </w:p>
    <w:p w:rsidR="000A5645" w:rsidRPr="00E25690" w:rsidRDefault="000A5645" w:rsidP="00E25690">
      <w:pPr>
        <w:jc w:val="center"/>
        <w:rPr>
          <w:rFonts w:ascii="Arial" w:hAnsi="Arial" w:cs="Arial"/>
          <w:b/>
          <w:bCs/>
        </w:rPr>
      </w:pPr>
    </w:p>
    <w:p w:rsidR="00E67168" w:rsidRPr="00E25690" w:rsidRDefault="00E67168" w:rsidP="00E25690">
      <w:pPr>
        <w:jc w:val="center"/>
        <w:rPr>
          <w:rFonts w:ascii="Arial" w:hAnsi="Arial" w:cs="Arial"/>
          <w:b/>
          <w:bCs/>
        </w:rPr>
      </w:pPr>
    </w:p>
    <w:p w:rsidR="00E67168" w:rsidRPr="00E25690" w:rsidRDefault="000502E5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  <w:b/>
          <w:bCs/>
        </w:rPr>
        <w:t>AN ACT</w:t>
      </w:r>
      <w:r w:rsidRPr="00E25690">
        <w:rPr>
          <w:rFonts w:ascii="Arial" w:hAnsi="Arial" w:cs="Arial"/>
        </w:rPr>
        <w:t xml:space="preserve"> to </w:t>
      </w:r>
      <w:r w:rsidR="00447498" w:rsidRPr="00E25690">
        <w:rPr>
          <w:rFonts w:ascii="Arial" w:hAnsi="Arial" w:cs="Arial"/>
        </w:rPr>
        <w:t xml:space="preserve">amend the </w:t>
      </w:r>
      <w:r w:rsidR="00E774BE" w:rsidRPr="00E25690">
        <w:rPr>
          <w:rFonts w:ascii="Arial" w:hAnsi="Arial" w:cs="Arial"/>
        </w:rPr>
        <w:t xml:space="preserve">Appropriation </w:t>
      </w:r>
      <w:r w:rsidR="00CF6385" w:rsidRPr="00E25690">
        <w:rPr>
          <w:rFonts w:ascii="Arial" w:hAnsi="Arial" w:cs="Arial"/>
        </w:rPr>
        <w:t>(2018) Act,</w:t>
      </w:r>
      <w:r w:rsidR="00E774BE" w:rsidRPr="00E25690">
        <w:rPr>
          <w:rFonts w:ascii="Arial" w:hAnsi="Arial" w:cs="Arial"/>
        </w:rPr>
        <w:t xml:space="preserve"> 2017 to reallocate the sum </w:t>
      </w:r>
      <w:r w:rsidR="006A71AF" w:rsidRPr="00E25690">
        <w:rPr>
          <w:rFonts w:ascii="Arial" w:hAnsi="Arial" w:cs="Arial"/>
        </w:rPr>
        <w:t xml:space="preserve">not exceeding </w:t>
      </w:r>
      <w:r w:rsidR="00EC6130" w:rsidRPr="00E25690">
        <w:rPr>
          <w:rFonts w:ascii="Arial" w:hAnsi="Arial" w:cs="Arial"/>
        </w:rPr>
        <w:t xml:space="preserve">one billion, </w:t>
      </w:r>
      <w:r w:rsidR="004C6010" w:rsidRPr="00E25690">
        <w:rPr>
          <w:rFonts w:ascii="Arial" w:hAnsi="Arial" w:cs="Arial"/>
        </w:rPr>
        <w:t>one hundred</w:t>
      </w:r>
      <w:r w:rsidR="00B13D24" w:rsidRPr="00E25690">
        <w:rPr>
          <w:rFonts w:ascii="Arial" w:hAnsi="Arial" w:cs="Arial"/>
        </w:rPr>
        <w:t xml:space="preserve"> </w:t>
      </w:r>
      <w:r w:rsidR="00DE2997" w:rsidRPr="00E25690">
        <w:rPr>
          <w:rFonts w:ascii="Arial" w:hAnsi="Arial" w:cs="Arial"/>
        </w:rPr>
        <w:t xml:space="preserve">and </w:t>
      </w:r>
      <w:r w:rsidR="005E307A" w:rsidRPr="00E25690">
        <w:rPr>
          <w:rFonts w:ascii="Arial" w:hAnsi="Arial" w:cs="Arial"/>
        </w:rPr>
        <w:t xml:space="preserve">twelve </w:t>
      </w:r>
      <w:r w:rsidR="00DE2997" w:rsidRPr="00E25690">
        <w:rPr>
          <w:rFonts w:ascii="Arial" w:hAnsi="Arial" w:cs="Arial"/>
        </w:rPr>
        <w:t xml:space="preserve">million, </w:t>
      </w:r>
      <w:r w:rsidR="001C0A43" w:rsidRPr="00E25690">
        <w:rPr>
          <w:rFonts w:ascii="Arial" w:hAnsi="Arial" w:cs="Arial"/>
        </w:rPr>
        <w:t>thirty-nine</w:t>
      </w:r>
      <w:r w:rsidR="005E307A" w:rsidRPr="00E25690">
        <w:rPr>
          <w:rFonts w:ascii="Arial" w:hAnsi="Arial" w:cs="Arial"/>
        </w:rPr>
        <w:t xml:space="preserve"> </w:t>
      </w:r>
      <w:r w:rsidR="006A71AF" w:rsidRPr="00E25690">
        <w:rPr>
          <w:rFonts w:ascii="Arial" w:hAnsi="Arial" w:cs="Arial"/>
        </w:rPr>
        <w:t xml:space="preserve">thousand, </w:t>
      </w:r>
      <w:r w:rsidR="001C0A43" w:rsidRPr="00E25690">
        <w:rPr>
          <w:rFonts w:ascii="Arial" w:hAnsi="Arial" w:cs="Arial"/>
        </w:rPr>
        <w:t>nine</w:t>
      </w:r>
      <w:r w:rsidR="005E307A" w:rsidRPr="00E25690">
        <w:rPr>
          <w:rFonts w:ascii="Arial" w:hAnsi="Arial" w:cs="Arial"/>
        </w:rPr>
        <w:t xml:space="preserve"> hundred and </w:t>
      </w:r>
      <w:r w:rsidR="001C0A43" w:rsidRPr="00E25690">
        <w:rPr>
          <w:rFonts w:ascii="Arial" w:hAnsi="Arial" w:cs="Arial"/>
        </w:rPr>
        <w:t>thirty-eight</w:t>
      </w:r>
      <w:r w:rsidR="005E307A" w:rsidRPr="00E25690">
        <w:rPr>
          <w:rFonts w:ascii="Arial" w:hAnsi="Arial" w:cs="Arial"/>
        </w:rPr>
        <w:t xml:space="preserve"> dollars</w:t>
      </w:r>
      <w:r w:rsidR="006A71AF" w:rsidRPr="00E25690">
        <w:rPr>
          <w:rFonts w:ascii="Arial" w:hAnsi="Arial" w:cs="Arial"/>
        </w:rPr>
        <w:t xml:space="preserve"> </w:t>
      </w:r>
      <w:r w:rsidR="006A71AF" w:rsidRPr="00E25690">
        <w:rPr>
          <w:rFonts w:ascii="Arial" w:hAnsi="Arial" w:cs="Arial"/>
          <w:b/>
        </w:rPr>
        <w:t>(</w:t>
      </w:r>
      <w:r w:rsidR="007D2753" w:rsidRPr="00E25690">
        <w:rPr>
          <w:rFonts w:ascii="Arial" w:hAnsi="Arial" w:cs="Arial"/>
          <w:b/>
        </w:rPr>
        <w:t>$</w:t>
      </w:r>
      <w:r w:rsidR="00EC6130" w:rsidRPr="00E25690">
        <w:rPr>
          <w:rFonts w:ascii="Arial" w:hAnsi="Arial" w:cs="Arial"/>
          <w:b/>
        </w:rPr>
        <w:t>1,</w:t>
      </w:r>
      <w:r w:rsidR="004C6010" w:rsidRPr="00E25690">
        <w:rPr>
          <w:rFonts w:ascii="Arial" w:hAnsi="Arial" w:cs="Arial"/>
          <w:b/>
        </w:rPr>
        <w:t>1</w:t>
      </w:r>
      <w:r w:rsidR="005E307A" w:rsidRPr="00E25690">
        <w:rPr>
          <w:rFonts w:ascii="Arial" w:hAnsi="Arial" w:cs="Arial"/>
          <w:b/>
        </w:rPr>
        <w:t>12</w:t>
      </w:r>
      <w:r w:rsidR="00F5650E" w:rsidRPr="00E25690">
        <w:rPr>
          <w:rFonts w:ascii="Arial" w:hAnsi="Arial" w:cs="Arial"/>
          <w:b/>
        </w:rPr>
        <w:t>,</w:t>
      </w:r>
      <w:r w:rsidR="005E307A" w:rsidRPr="00E25690">
        <w:rPr>
          <w:rFonts w:ascii="Arial" w:hAnsi="Arial" w:cs="Arial"/>
          <w:b/>
        </w:rPr>
        <w:t>0</w:t>
      </w:r>
      <w:r w:rsidR="001C0A43" w:rsidRPr="00E25690">
        <w:rPr>
          <w:rFonts w:ascii="Arial" w:hAnsi="Arial" w:cs="Arial"/>
          <w:b/>
        </w:rPr>
        <w:t>39</w:t>
      </w:r>
      <w:r w:rsidR="005E307A" w:rsidRPr="00E25690">
        <w:rPr>
          <w:rFonts w:ascii="Arial" w:hAnsi="Arial" w:cs="Arial"/>
          <w:b/>
        </w:rPr>
        <w:t>,</w:t>
      </w:r>
      <w:r w:rsidR="001C0A43" w:rsidRPr="00E25690">
        <w:rPr>
          <w:rFonts w:ascii="Arial" w:hAnsi="Arial" w:cs="Arial"/>
          <w:b/>
        </w:rPr>
        <w:t>938</w:t>
      </w:r>
      <w:r w:rsidR="005C0007" w:rsidRPr="00E25690">
        <w:rPr>
          <w:rFonts w:ascii="Arial" w:hAnsi="Arial" w:cs="Arial"/>
          <w:b/>
        </w:rPr>
        <w:t>.00</w:t>
      </w:r>
      <w:r w:rsidR="006A71AF" w:rsidRPr="00E25690">
        <w:rPr>
          <w:rFonts w:ascii="Arial" w:hAnsi="Arial" w:cs="Arial"/>
          <w:b/>
          <w:bCs/>
        </w:rPr>
        <w:t>)</w:t>
      </w:r>
      <w:r w:rsidRPr="00E25690">
        <w:rPr>
          <w:rFonts w:ascii="Arial" w:hAnsi="Arial" w:cs="Arial"/>
        </w:rPr>
        <w:t xml:space="preserve"> </w:t>
      </w:r>
      <w:r w:rsidR="00117829" w:rsidRPr="00E25690">
        <w:rPr>
          <w:rFonts w:ascii="Arial" w:hAnsi="Arial" w:cs="Arial"/>
        </w:rPr>
        <w:t xml:space="preserve">as appropriated by </w:t>
      </w:r>
      <w:r w:rsidR="002B1CAE" w:rsidRPr="00E25690">
        <w:rPr>
          <w:rFonts w:ascii="Arial" w:hAnsi="Arial" w:cs="Arial"/>
        </w:rPr>
        <w:t xml:space="preserve">the </w:t>
      </w:r>
      <w:r w:rsidR="00117829" w:rsidRPr="00E25690">
        <w:rPr>
          <w:rFonts w:ascii="Arial" w:hAnsi="Arial" w:cs="Arial"/>
        </w:rPr>
        <w:t>Appropriation (2018) Act, 2017</w:t>
      </w:r>
      <w:r w:rsidR="00CF6385" w:rsidRPr="00E25690">
        <w:rPr>
          <w:rFonts w:ascii="Arial" w:hAnsi="Arial" w:cs="Arial"/>
        </w:rPr>
        <w:t xml:space="preserve"> for</w:t>
      </w:r>
      <w:r w:rsidR="005744D6" w:rsidRPr="00E25690">
        <w:rPr>
          <w:rFonts w:ascii="Arial" w:hAnsi="Arial" w:cs="Arial"/>
        </w:rPr>
        <w:t xml:space="preserve"> </w:t>
      </w:r>
      <w:r w:rsidRPr="00E25690">
        <w:rPr>
          <w:rFonts w:ascii="Arial" w:hAnsi="Arial" w:cs="Arial"/>
        </w:rPr>
        <w:t xml:space="preserve">the service of the State of Grenada for the period </w:t>
      </w:r>
      <w:r w:rsidR="00CF6385" w:rsidRPr="00E25690">
        <w:rPr>
          <w:rFonts w:ascii="Arial" w:hAnsi="Arial" w:cs="Arial"/>
        </w:rPr>
        <w:t>January 1</w:t>
      </w:r>
      <w:r w:rsidR="00CF6385" w:rsidRPr="00E25690">
        <w:rPr>
          <w:rFonts w:ascii="Arial" w:hAnsi="Arial" w:cs="Arial"/>
          <w:vertAlign w:val="superscript"/>
        </w:rPr>
        <w:t>st</w:t>
      </w:r>
      <w:r w:rsidRPr="00E25690">
        <w:rPr>
          <w:rFonts w:ascii="Arial" w:hAnsi="Arial" w:cs="Arial"/>
        </w:rPr>
        <w:t xml:space="preserve"> to December 31</w:t>
      </w:r>
      <w:r w:rsidRPr="00E25690">
        <w:rPr>
          <w:rFonts w:ascii="Arial" w:hAnsi="Arial" w:cs="Arial"/>
          <w:vertAlign w:val="superscript"/>
        </w:rPr>
        <w:t>st</w:t>
      </w:r>
      <w:r w:rsidRPr="00E25690">
        <w:rPr>
          <w:rFonts w:ascii="Arial" w:hAnsi="Arial" w:cs="Arial"/>
        </w:rPr>
        <w:t xml:space="preserve"> 20</w:t>
      </w:r>
      <w:r w:rsidR="003A4497" w:rsidRPr="00E25690">
        <w:rPr>
          <w:rFonts w:ascii="Arial" w:hAnsi="Arial" w:cs="Arial"/>
        </w:rPr>
        <w:t>1</w:t>
      </w:r>
      <w:r w:rsidR="00654E7A" w:rsidRPr="00E25690">
        <w:rPr>
          <w:rFonts w:ascii="Arial" w:hAnsi="Arial" w:cs="Arial"/>
        </w:rPr>
        <w:t>8</w:t>
      </w:r>
      <w:r w:rsidR="00CF6385" w:rsidRPr="00E25690">
        <w:rPr>
          <w:rFonts w:ascii="Arial" w:hAnsi="Arial" w:cs="Arial"/>
        </w:rPr>
        <w:t xml:space="preserve"> to facilitate the </w:t>
      </w:r>
      <w:proofErr w:type="spellStart"/>
      <w:r w:rsidR="00CF6385" w:rsidRPr="00E25690">
        <w:rPr>
          <w:rFonts w:ascii="Arial" w:hAnsi="Arial" w:cs="Arial"/>
        </w:rPr>
        <w:t>reorganisation</w:t>
      </w:r>
      <w:proofErr w:type="spellEnd"/>
      <w:r w:rsidR="00CF6385" w:rsidRPr="00E25690">
        <w:rPr>
          <w:rFonts w:ascii="Arial" w:hAnsi="Arial" w:cs="Arial"/>
        </w:rPr>
        <w:t xml:space="preserve"> of </w:t>
      </w:r>
      <w:r w:rsidR="00E508FF" w:rsidRPr="00E25690">
        <w:rPr>
          <w:rFonts w:ascii="Arial" w:hAnsi="Arial" w:cs="Arial"/>
        </w:rPr>
        <w:t xml:space="preserve">the Expenditure Votes to reflect the </w:t>
      </w:r>
      <w:r w:rsidR="00CF6385" w:rsidRPr="00E25690">
        <w:rPr>
          <w:rFonts w:ascii="Arial" w:hAnsi="Arial" w:cs="Arial"/>
        </w:rPr>
        <w:t>Ministerial Portfolios as effected on March 29</w:t>
      </w:r>
      <w:r w:rsidR="00CF6385" w:rsidRPr="00E25690">
        <w:rPr>
          <w:rFonts w:ascii="Arial" w:hAnsi="Arial" w:cs="Arial"/>
          <w:vertAlign w:val="superscript"/>
        </w:rPr>
        <w:t>th</w:t>
      </w:r>
      <w:r w:rsidR="00CF6385" w:rsidRPr="00E25690">
        <w:rPr>
          <w:rFonts w:ascii="Arial" w:hAnsi="Arial" w:cs="Arial"/>
        </w:rPr>
        <w:t xml:space="preserve"> 2018</w:t>
      </w:r>
      <w:r w:rsidRPr="00E25690">
        <w:rPr>
          <w:rFonts w:ascii="Arial" w:hAnsi="Arial" w:cs="Arial"/>
        </w:rPr>
        <w:t>.</w:t>
      </w:r>
    </w:p>
    <w:p w:rsidR="00E67168" w:rsidRPr="00E25690" w:rsidRDefault="00E67168" w:rsidP="00E25690">
      <w:pPr>
        <w:jc w:val="both"/>
        <w:rPr>
          <w:rFonts w:ascii="Arial" w:hAnsi="Arial" w:cs="Arial"/>
          <w:b/>
          <w:bCs/>
        </w:rPr>
      </w:pPr>
    </w:p>
    <w:p w:rsidR="00E67168" w:rsidRPr="00E25690" w:rsidRDefault="00E67168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  <w:b/>
          <w:bCs/>
        </w:rPr>
        <w:t xml:space="preserve">BE IT </w:t>
      </w:r>
      <w:r w:rsidR="000502E5" w:rsidRPr="00E25690">
        <w:rPr>
          <w:rFonts w:ascii="Arial" w:hAnsi="Arial" w:cs="Arial"/>
          <w:b/>
          <w:bCs/>
        </w:rPr>
        <w:t>ENACTED</w:t>
      </w:r>
      <w:r w:rsidR="000502E5" w:rsidRPr="00E25690">
        <w:rPr>
          <w:rFonts w:ascii="Arial" w:hAnsi="Arial" w:cs="Arial"/>
        </w:rPr>
        <w:t xml:space="preserve"> by the </w:t>
      </w:r>
      <w:r w:rsidRPr="00E25690">
        <w:rPr>
          <w:rFonts w:ascii="Arial" w:hAnsi="Arial" w:cs="Arial"/>
        </w:rPr>
        <w:t>Queen’s Most Excellent Majesty, by and with the advice and consent of the Senate and the House of Representatives</w:t>
      </w:r>
      <w:r w:rsidR="00081041">
        <w:rPr>
          <w:rFonts w:ascii="Arial" w:hAnsi="Arial" w:cs="Arial"/>
        </w:rPr>
        <w:t xml:space="preserve"> of Grenada</w:t>
      </w:r>
      <w:r w:rsidRPr="00E25690">
        <w:rPr>
          <w:rFonts w:ascii="Arial" w:hAnsi="Arial" w:cs="Arial"/>
        </w:rPr>
        <w:t>, and by the authority of the same as follows</w:t>
      </w:r>
      <w:r w:rsidR="00CF6385" w:rsidRPr="00E25690">
        <w:rPr>
          <w:rFonts w:ascii="Arial" w:hAnsi="Arial" w:cs="Arial"/>
          <w:lang w:val="en-GB"/>
        </w:rPr>
        <w:t>—</w:t>
      </w:r>
    </w:p>
    <w:p w:rsidR="00E67168" w:rsidRPr="00E25690" w:rsidRDefault="00E67168" w:rsidP="00E25690">
      <w:pPr>
        <w:jc w:val="both"/>
        <w:rPr>
          <w:rFonts w:ascii="Arial" w:hAnsi="Arial" w:cs="Arial"/>
          <w:b/>
          <w:bCs/>
        </w:rPr>
      </w:pPr>
    </w:p>
    <w:p w:rsidR="0032084D" w:rsidRPr="00E25690" w:rsidRDefault="0032084D" w:rsidP="00E25690">
      <w:pPr>
        <w:jc w:val="both"/>
        <w:rPr>
          <w:rFonts w:ascii="Arial" w:hAnsi="Arial" w:cs="Arial"/>
          <w:b/>
          <w:bCs/>
        </w:rPr>
      </w:pPr>
    </w:p>
    <w:p w:rsidR="00E67168" w:rsidRPr="00E25690" w:rsidRDefault="000502E5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  <w:b/>
          <w:bCs/>
        </w:rPr>
        <w:t>Short title</w:t>
      </w:r>
      <w:r w:rsidR="00E67168" w:rsidRPr="00E25690">
        <w:rPr>
          <w:rFonts w:ascii="Arial" w:hAnsi="Arial" w:cs="Arial"/>
        </w:rPr>
        <w:tab/>
      </w:r>
    </w:p>
    <w:p w:rsidR="000502E5" w:rsidRPr="00E25690" w:rsidRDefault="000502E5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1. This Act may be cited as the</w:t>
      </w:r>
    </w:p>
    <w:p w:rsidR="00817218" w:rsidRPr="00E25690" w:rsidRDefault="000502E5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</w:p>
    <w:p w:rsidR="00CF6385" w:rsidRPr="00E25690" w:rsidRDefault="000502E5" w:rsidP="00E25690">
      <w:pPr>
        <w:jc w:val="right"/>
        <w:rPr>
          <w:rFonts w:ascii="Arial" w:hAnsi="Arial" w:cs="Arial"/>
          <w:b/>
          <w:bCs/>
          <w:u w:val="single"/>
        </w:rPr>
      </w:pPr>
      <w:r w:rsidRPr="00E25690">
        <w:rPr>
          <w:rFonts w:ascii="Arial" w:hAnsi="Arial" w:cs="Arial"/>
          <w:b/>
          <w:bCs/>
          <w:u w:val="single"/>
        </w:rPr>
        <w:t xml:space="preserve">APPROPRIATION </w:t>
      </w:r>
      <w:r w:rsidR="00CF6385" w:rsidRPr="00E25690">
        <w:rPr>
          <w:rFonts w:ascii="Arial" w:hAnsi="Arial" w:cs="Arial"/>
          <w:b/>
          <w:bCs/>
          <w:u w:val="single"/>
        </w:rPr>
        <w:t>(2018) (AMENDMENT</w:t>
      </w:r>
      <w:r w:rsidR="003D51A8" w:rsidRPr="00E25690">
        <w:rPr>
          <w:rFonts w:ascii="Arial" w:hAnsi="Arial" w:cs="Arial"/>
          <w:b/>
          <w:bCs/>
          <w:u w:val="single"/>
        </w:rPr>
        <w:t xml:space="preserve">) </w:t>
      </w:r>
      <w:r w:rsidRPr="00E25690">
        <w:rPr>
          <w:rFonts w:ascii="Arial" w:hAnsi="Arial" w:cs="Arial"/>
          <w:b/>
          <w:bCs/>
          <w:u w:val="single"/>
        </w:rPr>
        <w:t>ACT, 20</w:t>
      </w:r>
      <w:r w:rsidR="003A4497" w:rsidRPr="00E25690">
        <w:rPr>
          <w:rFonts w:ascii="Arial" w:hAnsi="Arial" w:cs="Arial"/>
          <w:b/>
          <w:bCs/>
          <w:u w:val="single"/>
        </w:rPr>
        <w:t>1</w:t>
      </w:r>
      <w:r w:rsidR="005744D6" w:rsidRPr="00E25690">
        <w:rPr>
          <w:rFonts w:ascii="Arial" w:hAnsi="Arial" w:cs="Arial"/>
          <w:b/>
          <w:bCs/>
          <w:u w:val="single"/>
        </w:rPr>
        <w:t>8</w:t>
      </w:r>
    </w:p>
    <w:p w:rsidR="00CF6385" w:rsidRPr="00E25690" w:rsidRDefault="00CF6385" w:rsidP="00E25690">
      <w:pPr>
        <w:jc w:val="right"/>
        <w:rPr>
          <w:rFonts w:ascii="Arial" w:hAnsi="Arial" w:cs="Arial"/>
          <w:b/>
          <w:bCs/>
          <w:u w:val="single"/>
        </w:rPr>
      </w:pPr>
    </w:p>
    <w:p w:rsidR="00AC4066" w:rsidRPr="00E25690" w:rsidRDefault="00CF6385" w:rsidP="00E25690">
      <w:pPr>
        <w:jc w:val="both"/>
        <w:rPr>
          <w:rFonts w:ascii="Arial" w:hAnsi="Arial" w:cs="Arial"/>
          <w:b/>
          <w:bCs/>
          <w:u w:val="single"/>
        </w:rPr>
      </w:pPr>
      <w:r w:rsidRPr="00E25690">
        <w:rPr>
          <w:rFonts w:ascii="Arial" w:hAnsi="Arial" w:cs="Arial"/>
          <w:lang w:val="en-GB"/>
        </w:rPr>
        <w:t xml:space="preserve">and shall be read as one with the </w:t>
      </w:r>
      <w:r w:rsidRPr="00E25690">
        <w:rPr>
          <w:rFonts w:ascii="Arial" w:hAnsi="Arial" w:cs="Arial"/>
        </w:rPr>
        <w:t>Appropriation (2018) Act, 2017</w:t>
      </w:r>
      <w:r w:rsidR="00735C92" w:rsidRPr="00E25690">
        <w:rPr>
          <w:rFonts w:ascii="Arial" w:hAnsi="Arial" w:cs="Arial"/>
        </w:rPr>
        <w:t>,</w:t>
      </w:r>
      <w:r w:rsidRPr="00E25690">
        <w:rPr>
          <w:rFonts w:ascii="Arial" w:hAnsi="Arial" w:cs="Arial"/>
        </w:rPr>
        <w:t xml:space="preserve"> Act No. 27 of 2017</w:t>
      </w:r>
      <w:r w:rsidRPr="00E25690">
        <w:rPr>
          <w:rFonts w:ascii="Arial" w:hAnsi="Arial" w:cs="Arial"/>
          <w:lang w:val="en-GB"/>
        </w:rPr>
        <w:t>, hereinafter referred to as the “principal Act”</w:t>
      </w:r>
      <w:r w:rsidR="002B1CAE" w:rsidRPr="00E25690">
        <w:rPr>
          <w:rFonts w:ascii="Arial" w:hAnsi="Arial" w:cs="Arial"/>
          <w:bCs/>
        </w:rPr>
        <w:t>.</w:t>
      </w:r>
      <w:r w:rsidR="000502E5" w:rsidRPr="00E25690">
        <w:rPr>
          <w:rFonts w:ascii="Arial" w:hAnsi="Arial" w:cs="Arial"/>
          <w:b/>
          <w:bCs/>
          <w:u w:val="single"/>
        </w:rPr>
        <w:t xml:space="preserve"> </w:t>
      </w:r>
    </w:p>
    <w:p w:rsidR="00E67168" w:rsidRPr="00E25690" w:rsidRDefault="00E67168" w:rsidP="00E25690">
      <w:pPr>
        <w:jc w:val="both"/>
        <w:rPr>
          <w:rFonts w:ascii="Arial" w:hAnsi="Arial" w:cs="Arial"/>
          <w:b/>
          <w:bCs/>
          <w:u w:val="single"/>
        </w:rPr>
      </w:pPr>
    </w:p>
    <w:p w:rsidR="00E67168" w:rsidRPr="00E25690" w:rsidRDefault="001A42F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  <w:b/>
          <w:bCs/>
        </w:rPr>
        <w:t xml:space="preserve">Amendment </w:t>
      </w:r>
      <w:r w:rsidR="00CF6385" w:rsidRPr="00E25690">
        <w:rPr>
          <w:rFonts w:ascii="Arial" w:hAnsi="Arial" w:cs="Arial"/>
          <w:b/>
          <w:bCs/>
        </w:rPr>
        <w:t>o</w:t>
      </w:r>
      <w:r w:rsidRPr="00E25690">
        <w:rPr>
          <w:rFonts w:ascii="Arial" w:hAnsi="Arial" w:cs="Arial"/>
          <w:b/>
          <w:bCs/>
        </w:rPr>
        <w:t>f</w:t>
      </w:r>
      <w:r w:rsidR="00CF6385" w:rsidRPr="00E25690">
        <w:rPr>
          <w:rFonts w:ascii="Arial" w:hAnsi="Arial" w:cs="Arial"/>
          <w:b/>
          <w:bCs/>
        </w:rPr>
        <w:t xml:space="preserve"> Schedule</w:t>
      </w:r>
      <w:r w:rsidR="00B725FD" w:rsidRPr="00E25690">
        <w:rPr>
          <w:rFonts w:ascii="Arial" w:hAnsi="Arial" w:cs="Arial"/>
          <w:b/>
          <w:bCs/>
        </w:rPr>
        <w:t xml:space="preserve"> to principal Act</w:t>
      </w:r>
      <w:r w:rsidR="000502E5" w:rsidRPr="00E25690">
        <w:rPr>
          <w:rFonts w:ascii="Arial" w:hAnsi="Arial" w:cs="Arial"/>
        </w:rPr>
        <w:tab/>
      </w:r>
    </w:p>
    <w:p w:rsidR="000502E5" w:rsidRPr="00E25690" w:rsidRDefault="000502E5" w:rsidP="00E25690">
      <w:pPr>
        <w:pStyle w:val="BodyTextIndent2"/>
        <w:spacing w:line="240" w:lineRule="auto"/>
        <w:ind w:left="0" w:firstLine="0"/>
        <w:rPr>
          <w:rFonts w:ascii="Arial" w:hAnsi="Arial" w:cs="Arial"/>
        </w:rPr>
      </w:pPr>
      <w:r w:rsidRPr="00E25690">
        <w:rPr>
          <w:rFonts w:ascii="Arial" w:hAnsi="Arial" w:cs="Arial"/>
        </w:rPr>
        <w:t xml:space="preserve">2. </w:t>
      </w:r>
      <w:r w:rsidR="00CF6385" w:rsidRPr="00E25690">
        <w:rPr>
          <w:rFonts w:ascii="Arial" w:hAnsi="Arial" w:cs="Arial"/>
        </w:rPr>
        <w:tab/>
      </w:r>
      <w:r w:rsidR="002B1CAE" w:rsidRPr="00E25690">
        <w:rPr>
          <w:rFonts w:ascii="Arial" w:hAnsi="Arial" w:cs="Arial"/>
        </w:rPr>
        <w:t xml:space="preserve"> The principal Act is amended by repealing the Schedule and substituting therefor the following new schedule</w:t>
      </w:r>
      <w:r w:rsidR="002B1CAE" w:rsidRPr="00E25690">
        <w:rPr>
          <w:rFonts w:ascii="Arial" w:hAnsi="Arial" w:cs="Arial"/>
          <w:lang w:val="en-GB"/>
        </w:rPr>
        <w:t>—</w:t>
      </w:r>
    </w:p>
    <w:p w:rsidR="000502E5" w:rsidRPr="00E25690" w:rsidRDefault="000502E5" w:rsidP="00E25690">
      <w:pPr>
        <w:ind w:left="2160" w:hanging="1800"/>
        <w:jc w:val="both"/>
        <w:rPr>
          <w:rFonts w:ascii="Arial" w:hAnsi="Arial" w:cs="Arial"/>
        </w:rPr>
      </w:pPr>
    </w:p>
    <w:p w:rsidR="00C954A4" w:rsidRDefault="00B725FD" w:rsidP="00E25690">
      <w:pPr>
        <w:ind w:left="2160" w:hanging="1800"/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024B20" w:rsidRPr="00E25690" w:rsidRDefault="00024B20" w:rsidP="00E25690">
      <w:pPr>
        <w:ind w:left="2160" w:hanging="1800"/>
        <w:jc w:val="both"/>
        <w:rPr>
          <w:rFonts w:ascii="Arial" w:hAnsi="Arial" w:cs="Arial"/>
        </w:rPr>
      </w:pPr>
    </w:p>
    <w:p w:rsidR="00AC4066" w:rsidRPr="00E25690" w:rsidRDefault="00CF6385" w:rsidP="00E25690">
      <w:pPr>
        <w:jc w:val="center"/>
        <w:rPr>
          <w:rFonts w:ascii="Arial" w:hAnsi="Arial" w:cs="Arial"/>
          <w:b/>
          <w:bCs/>
        </w:rPr>
      </w:pPr>
      <w:r w:rsidRPr="00E25690">
        <w:rPr>
          <w:rFonts w:ascii="Arial" w:hAnsi="Arial" w:cs="Arial"/>
          <w:b/>
          <w:bCs/>
        </w:rPr>
        <w:lastRenderedPageBreak/>
        <w:t>“</w:t>
      </w:r>
      <w:r w:rsidR="000502E5" w:rsidRPr="00E25690">
        <w:rPr>
          <w:rFonts w:ascii="Arial" w:hAnsi="Arial" w:cs="Arial"/>
          <w:b/>
          <w:bCs/>
        </w:rPr>
        <w:t>SCHEDULE</w:t>
      </w:r>
    </w:p>
    <w:p w:rsidR="000502E5" w:rsidRPr="00E25690" w:rsidRDefault="000502E5" w:rsidP="00E25690">
      <w:pPr>
        <w:ind w:left="2160" w:hanging="1800"/>
        <w:jc w:val="right"/>
        <w:rPr>
          <w:rFonts w:ascii="Arial" w:hAnsi="Arial" w:cs="Arial"/>
          <w:b/>
          <w:bCs/>
          <w:i/>
        </w:rPr>
      </w:pPr>
      <w:r w:rsidRPr="00E25690">
        <w:rPr>
          <w:rFonts w:ascii="Arial" w:hAnsi="Arial" w:cs="Arial"/>
          <w:b/>
          <w:bCs/>
          <w:i/>
        </w:rPr>
        <w:t>(Section</w:t>
      </w:r>
      <w:r w:rsidR="00E67168" w:rsidRPr="00E25690">
        <w:rPr>
          <w:rFonts w:ascii="Arial" w:hAnsi="Arial" w:cs="Arial"/>
          <w:b/>
          <w:bCs/>
          <w:i/>
        </w:rPr>
        <w:t xml:space="preserve"> 2</w:t>
      </w:r>
      <w:r w:rsidRPr="00E25690">
        <w:rPr>
          <w:rFonts w:ascii="Arial" w:hAnsi="Arial" w:cs="Arial"/>
          <w:b/>
          <w:bCs/>
          <w:i/>
        </w:rPr>
        <w:t xml:space="preserve">) </w:t>
      </w:r>
    </w:p>
    <w:p w:rsidR="00B13D24" w:rsidRPr="00E25690" w:rsidRDefault="00B13D24" w:rsidP="00E25690">
      <w:pPr>
        <w:rPr>
          <w:rFonts w:ascii="Arial" w:hAnsi="Arial" w:cs="Arial"/>
        </w:rPr>
      </w:pPr>
    </w:p>
    <w:p w:rsidR="00C53FD2" w:rsidRPr="00E25690" w:rsidRDefault="00C53FD2" w:rsidP="00E25690">
      <w:pPr>
        <w:rPr>
          <w:rFonts w:ascii="Arial" w:hAnsi="Arial" w:cs="Arial"/>
        </w:rPr>
      </w:pPr>
    </w:p>
    <w:tbl>
      <w:tblPr>
        <w:tblStyle w:val="TableGrid"/>
        <w:tblW w:w="9400" w:type="dxa"/>
        <w:tblLook w:val="04A0" w:firstRow="1" w:lastRow="0" w:firstColumn="1" w:lastColumn="0" w:noHBand="0" w:noVBand="1"/>
      </w:tblPr>
      <w:tblGrid>
        <w:gridCol w:w="4400"/>
        <w:gridCol w:w="1600"/>
        <w:gridCol w:w="1600"/>
        <w:gridCol w:w="1800"/>
      </w:tblGrid>
      <w:tr w:rsidR="00E97669" w:rsidRPr="00E25690" w:rsidTr="00C53FD2">
        <w:trPr>
          <w:trHeight w:val="510"/>
        </w:trPr>
        <w:tc>
          <w:tcPr>
            <w:tcW w:w="4400" w:type="dxa"/>
            <w:hideMark/>
          </w:tcPr>
          <w:p w:rsidR="00E97669" w:rsidRPr="00E25690" w:rsidRDefault="00E97669" w:rsidP="00E25690">
            <w:pPr>
              <w:jc w:val="center"/>
              <w:rPr>
                <w:rFonts w:ascii="Arial" w:hAnsi="Arial" w:cs="Arial"/>
                <w:b/>
                <w:bCs/>
              </w:rPr>
            </w:pPr>
            <w:r w:rsidRPr="00E25690">
              <w:rPr>
                <w:rFonts w:ascii="Arial" w:hAnsi="Arial" w:cs="Arial"/>
                <w:b/>
                <w:bCs/>
              </w:rPr>
              <w:t>Vote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center"/>
              <w:rPr>
                <w:rFonts w:ascii="Arial" w:hAnsi="Arial" w:cs="Arial"/>
                <w:b/>
                <w:bCs/>
              </w:rPr>
            </w:pPr>
            <w:r w:rsidRPr="00E25690">
              <w:rPr>
                <w:rFonts w:ascii="Arial" w:hAnsi="Arial" w:cs="Arial"/>
                <w:b/>
                <w:bCs/>
              </w:rPr>
              <w:t xml:space="preserve">Recurrent  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center"/>
              <w:rPr>
                <w:rFonts w:ascii="Arial" w:hAnsi="Arial" w:cs="Arial"/>
                <w:b/>
                <w:bCs/>
              </w:rPr>
            </w:pPr>
            <w:r w:rsidRPr="00E25690">
              <w:rPr>
                <w:rFonts w:ascii="Arial" w:hAnsi="Arial" w:cs="Arial"/>
                <w:b/>
                <w:bCs/>
              </w:rPr>
              <w:t xml:space="preserve">Capital 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center"/>
              <w:rPr>
                <w:rFonts w:ascii="Arial" w:hAnsi="Arial" w:cs="Arial"/>
                <w:b/>
                <w:bCs/>
              </w:rPr>
            </w:pPr>
            <w:r w:rsidRPr="00E25690">
              <w:rPr>
                <w:rFonts w:ascii="Arial" w:hAnsi="Arial" w:cs="Arial"/>
                <w:b/>
                <w:bCs/>
              </w:rPr>
              <w:t>Sum Not Exceeding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hideMark/>
          </w:tcPr>
          <w:p w:rsidR="00E97669" w:rsidRPr="00E25690" w:rsidRDefault="00E97669" w:rsidP="00E25690">
            <w:pPr>
              <w:jc w:val="center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 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01 Governor General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1,586,141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1,000,000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2,586,141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02 Parliament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1,416,014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1,416,014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03 Supreme Court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3,667,178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3,667,178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04 Magistracy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2,261,764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2,261,764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05 Audit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1,829,452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1,829,452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06 Public Service Commission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998,783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   998,783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07 Director of Public Prosecutions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707,670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   707,670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08 Parliamentary Elections Office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1,566,496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600,000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2,166,496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09 Ministry of Legal Affairs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3,321,779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3,321,779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10 Office of the Prime Minister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6,591,839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7,240,000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13,831,839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11 Prisons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8,039,066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8,039,066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12 Police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49,742,663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1,190,000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50,932,663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14 Labour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998,277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   998,277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15 Ministry of Tourism and Civil Aviation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21,275,085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280,708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21,555,793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16 Ministry of Foreign Affairs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7,213,856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1,506,235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8,720,091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17 Financial Intelligence Unit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443,199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   443,199 </w:t>
            </w:r>
          </w:p>
        </w:tc>
      </w:tr>
      <w:tr w:rsidR="00E97669" w:rsidRPr="00E25690" w:rsidTr="00C53FD2">
        <w:trPr>
          <w:trHeight w:val="9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18 Ministry of National Security, Public Administration, Home Affairs, Information and Communication Technology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5,168,455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5,597,760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10,766,215 </w:t>
            </w:r>
          </w:p>
        </w:tc>
      </w:tr>
      <w:tr w:rsidR="00E97669" w:rsidRPr="00E25690" w:rsidTr="00C53FD2">
        <w:trPr>
          <w:trHeight w:val="6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19 Minist</w:t>
            </w:r>
            <w:r w:rsidR="004F0D3C" w:rsidRPr="00E25690">
              <w:rPr>
                <w:rFonts w:ascii="Arial" w:hAnsi="Arial" w:cs="Arial"/>
              </w:rPr>
              <w:t>ry of Youth Development, Sports</w:t>
            </w:r>
            <w:r w:rsidRPr="00E25690">
              <w:rPr>
                <w:rFonts w:ascii="Arial" w:hAnsi="Arial" w:cs="Arial"/>
              </w:rPr>
              <w:t>, Culture and the Arts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38,631,501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7,295,000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45,926,501 </w:t>
            </w:r>
          </w:p>
        </w:tc>
      </w:tr>
      <w:tr w:rsidR="00E97669" w:rsidRPr="00E25690" w:rsidTr="00C53FD2">
        <w:trPr>
          <w:trHeight w:val="600"/>
        </w:trPr>
        <w:tc>
          <w:tcPr>
            <w:tcW w:w="4400" w:type="dxa"/>
            <w:vAlign w:val="center"/>
            <w:hideMark/>
          </w:tcPr>
          <w:p w:rsidR="00E97669" w:rsidRPr="00E25690" w:rsidRDefault="004F0D3C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lastRenderedPageBreak/>
              <w:t>20 Ministry of Finance, Planning</w:t>
            </w:r>
            <w:r w:rsidR="00E97669" w:rsidRPr="00E25690">
              <w:rPr>
                <w:rFonts w:ascii="Arial" w:hAnsi="Arial" w:cs="Arial"/>
              </w:rPr>
              <w:t xml:space="preserve">, Economic and Physical Development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74,316,882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33,719,043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108,035,925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21 Pensions and Gratuities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56,400,200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56,400,200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22 Public Debt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401,452,902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401,452,902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23 Salaries and wages increase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            -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               -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25 Contributions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17,323,706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               -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17,323,706 </w:t>
            </w:r>
          </w:p>
        </w:tc>
      </w:tr>
      <w:tr w:rsidR="00E97669" w:rsidRPr="00E25690" w:rsidTr="00C53FD2">
        <w:trPr>
          <w:trHeight w:val="600"/>
        </w:trPr>
        <w:tc>
          <w:tcPr>
            <w:tcW w:w="4400" w:type="dxa"/>
            <w:vAlign w:val="center"/>
            <w:hideMark/>
          </w:tcPr>
          <w:p w:rsidR="00E97669" w:rsidRPr="00E25690" w:rsidRDefault="004F0D3C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26 Ministry of Trade, Industry</w:t>
            </w:r>
            <w:r w:rsidR="00E97669" w:rsidRPr="00E25690">
              <w:rPr>
                <w:rFonts w:ascii="Arial" w:hAnsi="Arial" w:cs="Arial"/>
              </w:rPr>
              <w:t>, Co-operatives and CARICOM Affairs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2,311,312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6,405,000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  8,716,312 </w:t>
            </w:r>
          </w:p>
        </w:tc>
      </w:tr>
      <w:tr w:rsidR="00E97669" w:rsidRPr="00E25690" w:rsidTr="00C53FD2">
        <w:trPr>
          <w:trHeight w:val="9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28 Ministry of Climate Resilience, the Environment, Forestry, Fisheries, Disaster Management and Information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5,352,254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12,116,799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17,469,053 </w:t>
            </w:r>
          </w:p>
        </w:tc>
      </w:tr>
      <w:tr w:rsidR="00E97669" w:rsidRPr="00E25690" w:rsidTr="00C53FD2">
        <w:trPr>
          <w:trHeight w:val="9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30 Ministry of Infrastructure Development, Public Utilities, Energy, Transport and Implementation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7,346,437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51,994,328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59,340,765 </w:t>
            </w:r>
          </w:p>
        </w:tc>
      </w:tr>
      <w:tr w:rsidR="00E97669" w:rsidRPr="00E25690" w:rsidTr="00C53FD2">
        <w:trPr>
          <w:trHeight w:val="6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35</w:t>
            </w:r>
            <w:r w:rsidR="004F0D3C" w:rsidRPr="00E25690">
              <w:rPr>
                <w:rFonts w:ascii="Arial" w:hAnsi="Arial" w:cs="Arial"/>
              </w:rPr>
              <w:t xml:space="preserve"> Ministry of Social Development</w:t>
            </w:r>
            <w:r w:rsidRPr="00E25690">
              <w:rPr>
                <w:rFonts w:ascii="Arial" w:hAnsi="Arial" w:cs="Arial"/>
              </w:rPr>
              <w:t xml:space="preserve">, Housing and Community Empowerment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24,987,406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14,980,000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39,967,406 </w:t>
            </w:r>
          </w:p>
        </w:tc>
      </w:tr>
      <w:tr w:rsidR="00E97669" w:rsidRPr="00E25690" w:rsidTr="00C53FD2">
        <w:trPr>
          <w:trHeight w:val="6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36 Ministry of Carriacou and Petite Martinique Affairs &amp; Local Government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11,797,385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2,149,584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13,946,969 </w:t>
            </w:r>
          </w:p>
        </w:tc>
      </w:tr>
      <w:tr w:rsidR="00E97669" w:rsidRPr="00E25690" w:rsidTr="00C53FD2">
        <w:trPr>
          <w:trHeight w:val="6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40 Ministry of Education, Human Resource Development &amp; Religious Affairs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101,158,320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11,081,430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112,239,750 </w:t>
            </w:r>
          </w:p>
        </w:tc>
      </w:tr>
      <w:tr w:rsidR="00E97669" w:rsidRPr="00E25690" w:rsidTr="00C53FD2">
        <w:trPr>
          <w:trHeight w:val="6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50 Ministry of Health, Social Security &amp; International Business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70,443,191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11,891,992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82,335,183 </w:t>
            </w:r>
          </w:p>
        </w:tc>
      </w:tr>
      <w:tr w:rsidR="00E97669" w:rsidRPr="00E25690" w:rsidTr="00C53FD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>64 Ministry of Agriculture and Lands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12,366,895 </w:t>
            </w:r>
          </w:p>
        </w:tc>
        <w:tc>
          <w:tcPr>
            <w:tcW w:w="16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color w:val="000000"/>
              </w:rPr>
            </w:pPr>
            <w:r w:rsidRPr="00E25690">
              <w:rPr>
                <w:rFonts w:ascii="Arial" w:hAnsi="Arial" w:cs="Arial"/>
                <w:color w:val="000000"/>
              </w:rPr>
              <w:t xml:space="preserve">        2,275,951 </w:t>
            </w:r>
          </w:p>
        </w:tc>
        <w:tc>
          <w:tcPr>
            <w:tcW w:w="1800" w:type="dxa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</w:rPr>
            </w:pPr>
            <w:r w:rsidRPr="00E25690">
              <w:rPr>
                <w:rFonts w:ascii="Arial" w:hAnsi="Arial" w:cs="Arial"/>
              </w:rPr>
              <w:t xml:space="preserve">         14,642,846 </w:t>
            </w:r>
          </w:p>
        </w:tc>
      </w:tr>
      <w:tr w:rsidR="00E97669" w:rsidRPr="00E25690" w:rsidTr="005B0442">
        <w:trPr>
          <w:trHeight w:val="300"/>
        </w:trPr>
        <w:tc>
          <w:tcPr>
            <w:tcW w:w="4400" w:type="dxa"/>
            <w:vAlign w:val="center"/>
            <w:hideMark/>
          </w:tcPr>
          <w:p w:rsidR="00E97669" w:rsidRPr="00E25690" w:rsidRDefault="00E97669" w:rsidP="00E25690">
            <w:pPr>
              <w:rPr>
                <w:rFonts w:ascii="Arial" w:hAnsi="Arial" w:cs="Arial"/>
                <w:b/>
                <w:bCs/>
              </w:rPr>
            </w:pPr>
            <w:r w:rsidRPr="00E25690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600" w:type="dxa"/>
            <w:vAlign w:val="center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b/>
                <w:bCs/>
              </w:rPr>
            </w:pPr>
            <w:r w:rsidRPr="00E25690">
              <w:rPr>
                <w:rFonts w:ascii="Arial" w:hAnsi="Arial" w:cs="Arial"/>
                <w:b/>
                <w:bCs/>
              </w:rPr>
              <w:t xml:space="preserve">940,716,108 </w:t>
            </w:r>
          </w:p>
        </w:tc>
        <w:tc>
          <w:tcPr>
            <w:tcW w:w="1600" w:type="dxa"/>
            <w:vAlign w:val="center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b/>
                <w:bCs/>
              </w:rPr>
            </w:pPr>
            <w:r w:rsidRPr="00E25690">
              <w:rPr>
                <w:rFonts w:ascii="Arial" w:hAnsi="Arial" w:cs="Arial"/>
                <w:b/>
                <w:bCs/>
              </w:rPr>
              <w:t xml:space="preserve">171,323,830 </w:t>
            </w:r>
          </w:p>
        </w:tc>
        <w:tc>
          <w:tcPr>
            <w:tcW w:w="1800" w:type="dxa"/>
            <w:vAlign w:val="center"/>
            <w:hideMark/>
          </w:tcPr>
          <w:p w:rsidR="00E97669" w:rsidRPr="00E25690" w:rsidRDefault="00E97669" w:rsidP="00E25690">
            <w:pPr>
              <w:jc w:val="right"/>
              <w:rPr>
                <w:rFonts w:ascii="Arial" w:hAnsi="Arial" w:cs="Arial"/>
                <w:b/>
                <w:bCs/>
              </w:rPr>
            </w:pPr>
            <w:r w:rsidRPr="00E25690">
              <w:rPr>
                <w:rFonts w:ascii="Arial" w:hAnsi="Arial" w:cs="Arial"/>
                <w:b/>
                <w:bCs/>
              </w:rPr>
              <w:t xml:space="preserve">1,112,039,938 </w:t>
            </w:r>
          </w:p>
        </w:tc>
      </w:tr>
    </w:tbl>
    <w:p w:rsidR="00B13D24" w:rsidRPr="00E25690" w:rsidRDefault="00B13D24" w:rsidP="00E25690">
      <w:pPr>
        <w:rPr>
          <w:rFonts w:ascii="Arial" w:hAnsi="Arial" w:cs="Arial"/>
        </w:rPr>
      </w:pPr>
    </w:p>
    <w:p w:rsidR="00B13D24" w:rsidRDefault="00B13D24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Default="00C121CA" w:rsidP="00E25690">
      <w:pPr>
        <w:rPr>
          <w:rFonts w:ascii="Arial" w:hAnsi="Arial" w:cs="Arial"/>
        </w:rPr>
      </w:pPr>
    </w:p>
    <w:p w:rsidR="00C121CA" w:rsidRPr="00E25690" w:rsidRDefault="00C121CA" w:rsidP="00E25690">
      <w:pPr>
        <w:rPr>
          <w:rFonts w:ascii="Arial" w:hAnsi="Arial" w:cs="Arial"/>
        </w:rPr>
      </w:pPr>
    </w:p>
    <w:p w:rsidR="00E67168" w:rsidRPr="00E25690" w:rsidRDefault="00E67168" w:rsidP="00E25690">
      <w:pPr>
        <w:rPr>
          <w:rFonts w:ascii="Arial" w:hAnsi="Arial" w:cs="Arial"/>
        </w:rPr>
      </w:pPr>
      <w:r w:rsidRPr="00E25690">
        <w:rPr>
          <w:rFonts w:ascii="Arial" w:hAnsi="Arial" w:cs="Arial"/>
        </w:rPr>
        <w:lastRenderedPageBreak/>
        <w:t xml:space="preserve">Passed by the House of Representatives this </w:t>
      </w:r>
      <w:r w:rsidRPr="00E25690">
        <w:rPr>
          <w:rFonts w:ascii="Arial" w:hAnsi="Arial" w:cs="Arial"/>
        </w:rPr>
        <w:tab/>
      </w:r>
      <w:r w:rsidR="000D6A4A" w:rsidRPr="00E25690">
        <w:rPr>
          <w:rFonts w:ascii="Arial" w:hAnsi="Arial" w:cs="Arial"/>
        </w:rPr>
        <w:t xml:space="preserve">  </w:t>
      </w:r>
      <w:r w:rsidR="00C121CA">
        <w:rPr>
          <w:rFonts w:ascii="Arial" w:hAnsi="Arial" w:cs="Arial"/>
        </w:rPr>
        <w:t xml:space="preserve">     </w:t>
      </w:r>
      <w:r w:rsidR="000D6A4A" w:rsidRPr="00E25690">
        <w:rPr>
          <w:rFonts w:ascii="Arial" w:hAnsi="Arial" w:cs="Arial"/>
        </w:rPr>
        <w:t xml:space="preserve">day of                  </w:t>
      </w:r>
      <w:r w:rsidR="005D6891" w:rsidRPr="00E25690">
        <w:rPr>
          <w:rFonts w:ascii="Arial" w:hAnsi="Arial" w:cs="Arial"/>
        </w:rPr>
        <w:t xml:space="preserve">    </w:t>
      </w:r>
      <w:proofErr w:type="gramStart"/>
      <w:r w:rsidR="005D6891" w:rsidRPr="00E25690">
        <w:rPr>
          <w:rFonts w:ascii="Arial" w:hAnsi="Arial" w:cs="Arial"/>
        </w:rPr>
        <w:t xml:space="preserve"> </w:t>
      </w:r>
      <w:r w:rsidR="000D6A4A" w:rsidRPr="00E25690">
        <w:rPr>
          <w:rFonts w:ascii="Arial" w:hAnsi="Arial" w:cs="Arial"/>
        </w:rPr>
        <w:t xml:space="preserve"> </w:t>
      </w:r>
      <w:r w:rsidRPr="00E25690">
        <w:rPr>
          <w:rFonts w:ascii="Arial" w:hAnsi="Arial" w:cs="Arial"/>
        </w:rPr>
        <w:t>,</w:t>
      </w:r>
      <w:proofErr w:type="gramEnd"/>
      <w:r w:rsidR="005D6891" w:rsidRPr="00E25690">
        <w:rPr>
          <w:rFonts w:ascii="Arial" w:hAnsi="Arial" w:cs="Arial"/>
        </w:rPr>
        <w:t xml:space="preserve"> </w:t>
      </w:r>
      <w:r w:rsidR="00B725FD" w:rsidRPr="00E25690">
        <w:rPr>
          <w:rFonts w:ascii="Arial" w:hAnsi="Arial" w:cs="Arial"/>
        </w:rPr>
        <w:t>2018</w:t>
      </w:r>
      <w:r w:rsidRPr="00E25690">
        <w:rPr>
          <w:rFonts w:ascii="Arial" w:hAnsi="Arial" w:cs="Arial"/>
        </w:rPr>
        <w:t>.</w:t>
      </w:r>
    </w:p>
    <w:p w:rsidR="00E67168" w:rsidRPr="00E25690" w:rsidRDefault="00E67168" w:rsidP="00E25690">
      <w:pPr>
        <w:jc w:val="right"/>
        <w:rPr>
          <w:rFonts w:ascii="Arial" w:hAnsi="Arial" w:cs="Arial"/>
        </w:rPr>
      </w:pPr>
    </w:p>
    <w:p w:rsidR="00E67168" w:rsidRPr="00E25690" w:rsidRDefault="00E67168" w:rsidP="00E25690">
      <w:pPr>
        <w:jc w:val="right"/>
        <w:rPr>
          <w:rFonts w:ascii="Arial" w:hAnsi="Arial" w:cs="Arial"/>
        </w:rPr>
      </w:pPr>
    </w:p>
    <w:p w:rsidR="00E67168" w:rsidRDefault="00E67168" w:rsidP="00E25690">
      <w:pPr>
        <w:jc w:val="right"/>
        <w:rPr>
          <w:rFonts w:ascii="Arial" w:hAnsi="Arial" w:cs="Arial"/>
        </w:rPr>
      </w:pPr>
    </w:p>
    <w:p w:rsidR="00D336C1" w:rsidRPr="00E25690" w:rsidRDefault="00D336C1" w:rsidP="00E25690">
      <w:pPr>
        <w:jc w:val="right"/>
        <w:rPr>
          <w:rFonts w:ascii="Arial" w:hAnsi="Arial" w:cs="Arial"/>
        </w:rPr>
      </w:pPr>
    </w:p>
    <w:p w:rsidR="00E67168" w:rsidRPr="00E25690" w:rsidRDefault="00E67168" w:rsidP="00E25690">
      <w:pPr>
        <w:jc w:val="right"/>
        <w:rPr>
          <w:rFonts w:ascii="Arial" w:hAnsi="Arial" w:cs="Arial"/>
        </w:rPr>
      </w:pPr>
      <w:r w:rsidRPr="00E25690">
        <w:rPr>
          <w:rFonts w:ascii="Arial" w:hAnsi="Arial" w:cs="Arial"/>
        </w:rPr>
        <w:t>………………………………………………</w:t>
      </w:r>
      <w:r w:rsidR="006A71AF" w:rsidRPr="00E25690">
        <w:rPr>
          <w:rFonts w:ascii="Arial" w:hAnsi="Arial" w:cs="Arial"/>
        </w:rPr>
        <w:t>…..</w:t>
      </w:r>
    </w:p>
    <w:p w:rsidR="00E67168" w:rsidRPr="00E25690" w:rsidRDefault="00E67168" w:rsidP="00E25690">
      <w:pPr>
        <w:jc w:val="right"/>
        <w:rPr>
          <w:rFonts w:ascii="Arial" w:hAnsi="Arial" w:cs="Arial"/>
          <w:b/>
        </w:rPr>
      </w:pPr>
      <w:r w:rsidRPr="00E25690">
        <w:rPr>
          <w:rFonts w:ascii="Arial" w:hAnsi="Arial" w:cs="Arial"/>
          <w:b/>
        </w:rPr>
        <w:t xml:space="preserve">Clerk to the House of Representatives </w:t>
      </w:r>
    </w:p>
    <w:p w:rsidR="00E67168" w:rsidRPr="00E25690" w:rsidRDefault="00E67168" w:rsidP="00E25690">
      <w:pPr>
        <w:jc w:val="right"/>
        <w:rPr>
          <w:rFonts w:ascii="Arial" w:hAnsi="Arial" w:cs="Arial"/>
        </w:rPr>
      </w:pPr>
    </w:p>
    <w:p w:rsidR="00E67168" w:rsidRPr="00E25690" w:rsidRDefault="00E67168" w:rsidP="00E25690">
      <w:pPr>
        <w:jc w:val="right"/>
        <w:rPr>
          <w:rFonts w:ascii="Arial" w:hAnsi="Arial" w:cs="Arial"/>
        </w:rPr>
      </w:pPr>
    </w:p>
    <w:p w:rsidR="00E67168" w:rsidRPr="00E25690" w:rsidRDefault="00E67168" w:rsidP="00E25690">
      <w:pPr>
        <w:jc w:val="right"/>
        <w:rPr>
          <w:rFonts w:ascii="Arial" w:hAnsi="Arial" w:cs="Arial"/>
        </w:rPr>
      </w:pPr>
    </w:p>
    <w:p w:rsidR="00E67168" w:rsidRPr="00E25690" w:rsidRDefault="00120F8F" w:rsidP="00E25690">
      <w:pPr>
        <w:jc w:val="right"/>
        <w:rPr>
          <w:rFonts w:ascii="Arial" w:hAnsi="Arial" w:cs="Arial"/>
        </w:rPr>
      </w:pPr>
      <w:r w:rsidRPr="00E25690">
        <w:rPr>
          <w:rFonts w:ascii="Arial" w:hAnsi="Arial" w:cs="Arial"/>
        </w:rPr>
        <w:t>Passed by</w:t>
      </w:r>
      <w:r w:rsidR="00E67168" w:rsidRPr="00E25690">
        <w:rPr>
          <w:rFonts w:ascii="Arial" w:hAnsi="Arial" w:cs="Arial"/>
        </w:rPr>
        <w:t xml:space="preserve"> the Senate this </w:t>
      </w:r>
      <w:r w:rsidR="00E67168" w:rsidRPr="00E25690">
        <w:rPr>
          <w:rFonts w:ascii="Arial" w:hAnsi="Arial" w:cs="Arial"/>
        </w:rPr>
        <w:tab/>
      </w:r>
      <w:r w:rsidR="00E67168" w:rsidRPr="00E25690">
        <w:rPr>
          <w:rFonts w:ascii="Arial" w:hAnsi="Arial" w:cs="Arial"/>
        </w:rPr>
        <w:tab/>
        <w:t xml:space="preserve">day of </w:t>
      </w:r>
      <w:r w:rsidR="00E67168" w:rsidRPr="00E25690">
        <w:rPr>
          <w:rFonts w:ascii="Arial" w:hAnsi="Arial" w:cs="Arial"/>
        </w:rPr>
        <w:tab/>
      </w:r>
      <w:r w:rsidR="00E67168" w:rsidRPr="00E25690">
        <w:rPr>
          <w:rFonts w:ascii="Arial" w:hAnsi="Arial" w:cs="Arial"/>
        </w:rPr>
        <w:tab/>
        <w:t xml:space="preserve">, </w:t>
      </w:r>
      <w:r w:rsidR="00B725FD" w:rsidRPr="00E25690">
        <w:rPr>
          <w:rFonts w:ascii="Arial" w:hAnsi="Arial" w:cs="Arial"/>
        </w:rPr>
        <w:t>2018</w:t>
      </w:r>
      <w:r w:rsidR="00E67168" w:rsidRPr="00E25690">
        <w:rPr>
          <w:rFonts w:ascii="Arial" w:hAnsi="Arial" w:cs="Arial"/>
        </w:rPr>
        <w:t xml:space="preserve">. </w:t>
      </w:r>
    </w:p>
    <w:p w:rsidR="00E67168" w:rsidRPr="00E25690" w:rsidRDefault="00E67168" w:rsidP="00E25690">
      <w:pPr>
        <w:jc w:val="right"/>
        <w:rPr>
          <w:rFonts w:ascii="Arial" w:hAnsi="Arial" w:cs="Arial"/>
        </w:rPr>
      </w:pPr>
    </w:p>
    <w:p w:rsidR="00E67168" w:rsidRPr="00E25690" w:rsidRDefault="00E67168" w:rsidP="00E25690">
      <w:pPr>
        <w:jc w:val="right"/>
        <w:rPr>
          <w:rFonts w:ascii="Arial" w:hAnsi="Arial" w:cs="Arial"/>
        </w:rPr>
      </w:pPr>
    </w:p>
    <w:p w:rsidR="00E67168" w:rsidRDefault="00E67168" w:rsidP="00E25690">
      <w:pPr>
        <w:jc w:val="right"/>
        <w:rPr>
          <w:rFonts w:ascii="Arial" w:hAnsi="Arial" w:cs="Arial"/>
        </w:rPr>
      </w:pPr>
    </w:p>
    <w:p w:rsidR="00D336C1" w:rsidRPr="00E25690" w:rsidRDefault="00D336C1" w:rsidP="00E25690">
      <w:pPr>
        <w:jc w:val="right"/>
        <w:rPr>
          <w:rFonts w:ascii="Arial" w:hAnsi="Arial" w:cs="Arial"/>
        </w:rPr>
      </w:pPr>
    </w:p>
    <w:p w:rsidR="00E67168" w:rsidRPr="00E25690" w:rsidRDefault="00E67168" w:rsidP="00E25690">
      <w:pPr>
        <w:jc w:val="right"/>
        <w:rPr>
          <w:rFonts w:ascii="Arial" w:hAnsi="Arial" w:cs="Arial"/>
        </w:rPr>
      </w:pPr>
      <w:r w:rsidRPr="00E25690">
        <w:rPr>
          <w:rFonts w:ascii="Arial" w:hAnsi="Arial" w:cs="Arial"/>
        </w:rPr>
        <w:t>………………………………………………</w:t>
      </w:r>
    </w:p>
    <w:p w:rsidR="00E67168" w:rsidRPr="00E25690" w:rsidRDefault="00E67168" w:rsidP="00E25690">
      <w:pPr>
        <w:jc w:val="right"/>
        <w:rPr>
          <w:rFonts w:ascii="Arial" w:hAnsi="Arial" w:cs="Arial"/>
          <w:b/>
        </w:rPr>
      </w:pPr>
      <w:r w:rsidRPr="00E25690">
        <w:rPr>
          <w:rFonts w:ascii="Arial" w:hAnsi="Arial" w:cs="Arial"/>
          <w:b/>
        </w:rPr>
        <w:t xml:space="preserve">Clerk to the Senate </w:t>
      </w:r>
    </w:p>
    <w:sectPr w:rsidR="00E67168" w:rsidRPr="00E25690" w:rsidSect="003208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58D" w:rsidRDefault="00EB558D" w:rsidP="00B725FD">
      <w:r>
        <w:separator/>
      </w:r>
    </w:p>
  </w:endnote>
  <w:endnote w:type="continuationSeparator" w:id="0">
    <w:p w:rsidR="00EB558D" w:rsidRDefault="00EB558D" w:rsidP="00B7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7997"/>
      <w:docPartObj>
        <w:docPartGallery w:val="Page Numbers (Bottom of Page)"/>
        <w:docPartUnique/>
      </w:docPartObj>
    </w:sdtPr>
    <w:sdtEndPr/>
    <w:sdtContent>
      <w:p w:rsidR="002D1085" w:rsidRDefault="005979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1085" w:rsidRDefault="002D1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58D" w:rsidRDefault="00EB558D" w:rsidP="00B725FD">
      <w:r>
        <w:separator/>
      </w:r>
    </w:p>
  </w:footnote>
  <w:footnote w:type="continuationSeparator" w:id="0">
    <w:p w:rsidR="00EB558D" w:rsidRDefault="00EB558D" w:rsidP="00B7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E3274"/>
    <w:multiLevelType w:val="hybridMultilevel"/>
    <w:tmpl w:val="848A303E"/>
    <w:lvl w:ilvl="0" w:tplc="0660F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8F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F4E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D22D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765D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C2F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7AC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6C7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627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E52C6"/>
    <w:multiLevelType w:val="hybridMultilevel"/>
    <w:tmpl w:val="9A4CBA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D6596"/>
    <w:multiLevelType w:val="hybridMultilevel"/>
    <w:tmpl w:val="01ECF63C"/>
    <w:lvl w:ilvl="0" w:tplc="88FE1AF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1736D5"/>
    <w:multiLevelType w:val="hybridMultilevel"/>
    <w:tmpl w:val="93FCCDFA"/>
    <w:lvl w:ilvl="0" w:tplc="900CB93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D748F"/>
    <w:multiLevelType w:val="hybridMultilevel"/>
    <w:tmpl w:val="D3E0EE42"/>
    <w:lvl w:ilvl="0" w:tplc="EE6AE7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957F54"/>
    <w:multiLevelType w:val="hybridMultilevel"/>
    <w:tmpl w:val="19706538"/>
    <w:lvl w:ilvl="0" w:tplc="78FE0ECC">
      <w:start w:val="8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641C44"/>
    <w:multiLevelType w:val="hybridMultilevel"/>
    <w:tmpl w:val="1AFA5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9C"/>
    <w:rsid w:val="0000209A"/>
    <w:rsid w:val="00020454"/>
    <w:rsid w:val="00024B20"/>
    <w:rsid w:val="00027FC5"/>
    <w:rsid w:val="00034211"/>
    <w:rsid w:val="000502E5"/>
    <w:rsid w:val="00081041"/>
    <w:rsid w:val="000A5645"/>
    <w:rsid w:val="000D6A4A"/>
    <w:rsid w:val="000E4BC2"/>
    <w:rsid w:val="00117829"/>
    <w:rsid w:val="00120F8F"/>
    <w:rsid w:val="00172E18"/>
    <w:rsid w:val="001814E8"/>
    <w:rsid w:val="001A153C"/>
    <w:rsid w:val="001A42F0"/>
    <w:rsid w:val="001C0A43"/>
    <w:rsid w:val="001C4F87"/>
    <w:rsid w:val="00214BEF"/>
    <w:rsid w:val="00247648"/>
    <w:rsid w:val="0027672F"/>
    <w:rsid w:val="002B1296"/>
    <w:rsid w:val="002B1CAE"/>
    <w:rsid w:val="002C5065"/>
    <w:rsid w:val="002C69D1"/>
    <w:rsid w:val="002D1085"/>
    <w:rsid w:val="003045E9"/>
    <w:rsid w:val="0032084D"/>
    <w:rsid w:val="00341FDE"/>
    <w:rsid w:val="00353A63"/>
    <w:rsid w:val="00376AC0"/>
    <w:rsid w:val="0039376F"/>
    <w:rsid w:val="003940A6"/>
    <w:rsid w:val="003A4497"/>
    <w:rsid w:val="003B1F84"/>
    <w:rsid w:val="003C087C"/>
    <w:rsid w:val="003D51A8"/>
    <w:rsid w:val="003F4767"/>
    <w:rsid w:val="0040752E"/>
    <w:rsid w:val="00447498"/>
    <w:rsid w:val="00455270"/>
    <w:rsid w:val="004A6FA8"/>
    <w:rsid w:val="004B1F76"/>
    <w:rsid w:val="004C217B"/>
    <w:rsid w:val="004C31CE"/>
    <w:rsid w:val="004C6010"/>
    <w:rsid w:val="004E5C3E"/>
    <w:rsid w:val="004F0D3C"/>
    <w:rsid w:val="00511D81"/>
    <w:rsid w:val="005744D6"/>
    <w:rsid w:val="00593947"/>
    <w:rsid w:val="00597116"/>
    <w:rsid w:val="00597972"/>
    <w:rsid w:val="005B0442"/>
    <w:rsid w:val="005C0007"/>
    <w:rsid w:val="005D0A19"/>
    <w:rsid w:val="005D6891"/>
    <w:rsid w:val="005E307A"/>
    <w:rsid w:val="005E4F01"/>
    <w:rsid w:val="0060150D"/>
    <w:rsid w:val="00654E7A"/>
    <w:rsid w:val="006600EC"/>
    <w:rsid w:val="0066702B"/>
    <w:rsid w:val="006973D5"/>
    <w:rsid w:val="006A71AF"/>
    <w:rsid w:val="00714A15"/>
    <w:rsid w:val="0071768E"/>
    <w:rsid w:val="00735C92"/>
    <w:rsid w:val="00735DFF"/>
    <w:rsid w:val="007A7109"/>
    <w:rsid w:val="007C2073"/>
    <w:rsid w:val="007C713B"/>
    <w:rsid w:val="007D2753"/>
    <w:rsid w:val="00817218"/>
    <w:rsid w:val="008418BB"/>
    <w:rsid w:val="00860695"/>
    <w:rsid w:val="008934AE"/>
    <w:rsid w:val="008975D0"/>
    <w:rsid w:val="008A3401"/>
    <w:rsid w:val="008C7553"/>
    <w:rsid w:val="008E5693"/>
    <w:rsid w:val="00913EED"/>
    <w:rsid w:val="009214E7"/>
    <w:rsid w:val="00936E56"/>
    <w:rsid w:val="009B2AA3"/>
    <w:rsid w:val="009B7156"/>
    <w:rsid w:val="009E5801"/>
    <w:rsid w:val="00A214B5"/>
    <w:rsid w:val="00A364EC"/>
    <w:rsid w:val="00AC4066"/>
    <w:rsid w:val="00AE4E7C"/>
    <w:rsid w:val="00B13D24"/>
    <w:rsid w:val="00B14A56"/>
    <w:rsid w:val="00B16324"/>
    <w:rsid w:val="00B676E4"/>
    <w:rsid w:val="00B725FD"/>
    <w:rsid w:val="00BA2D7C"/>
    <w:rsid w:val="00BB5EB8"/>
    <w:rsid w:val="00BE5915"/>
    <w:rsid w:val="00BE7136"/>
    <w:rsid w:val="00C121CA"/>
    <w:rsid w:val="00C24A1A"/>
    <w:rsid w:val="00C3763C"/>
    <w:rsid w:val="00C42BCC"/>
    <w:rsid w:val="00C53FD2"/>
    <w:rsid w:val="00C77905"/>
    <w:rsid w:val="00C954A4"/>
    <w:rsid w:val="00CD619C"/>
    <w:rsid w:val="00CF6385"/>
    <w:rsid w:val="00D336C1"/>
    <w:rsid w:val="00D70793"/>
    <w:rsid w:val="00D70D29"/>
    <w:rsid w:val="00DB1C8F"/>
    <w:rsid w:val="00DE2997"/>
    <w:rsid w:val="00E25690"/>
    <w:rsid w:val="00E43669"/>
    <w:rsid w:val="00E508FF"/>
    <w:rsid w:val="00E62D01"/>
    <w:rsid w:val="00E67168"/>
    <w:rsid w:val="00E774BE"/>
    <w:rsid w:val="00E97669"/>
    <w:rsid w:val="00EB558D"/>
    <w:rsid w:val="00EC26D8"/>
    <w:rsid w:val="00EC6130"/>
    <w:rsid w:val="00F14D19"/>
    <w:rsid w:val="00F5457C"/>
    <w:rsid w:val="00F5650E"/>
    <w:rsid w:val="00F63195"/>
    <w:rsid w:val="00F67D34"/>
    <w:rsid w:val="00F80813"/>
    <w:rsid w:val="00FA04B8"/>
    <w:rsid w:val="00FA6621"/>
    <w:rsid w:val="00FB3997"/>
    <w:rsid w:val="00FE6228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6EA839-0D41-42E9-8E0F-CF8EF19E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2AA3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AA3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9B2AA3"/>
    <w:pPr>
      <w:keepNext/>
      <w:ind w:left="36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9B2AA3"/>
    <w:pPr>
      <w:keepNext/>
      <w:ind w:left="360"/>
      <w:outlineLvl w:val="2"/>
    </w:pPr>
    <w:rPr>
      <w:i/>
      <w:iCs/>
      <w:u w:val="single"/>
    </w:rPr>
  </w:style>
  <w:style w:type="paragraph" w:styleId="Heading4">
    <w:name w:val="heading 4"/>
    <w:basedOn w:val="Normal"/>
    <w:next w:val="Normal"/>
    <w:qFormat/>
    <w:rsid w:val="009B2AA3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B2AA3"/>
    <w:pPr>
      <w:keepNext/>
      <w:outlineLvl w:val="4"/>
    </w:pPr>
    <w:rPr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9B2AA3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2AA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rsid w:val="009B2AA3"/>
    <w:pPr>
      <w:jc w:val="center"/>
    </w:pPr>
    <w:rPr>
      <w:b/>
      <w:bCs/>
      <w:i/>
      <w:iCs/>
      <w:sz w:val="36"/>
      <w:u w:val="single"/>
    </w:rPr>
  </w:style>
  <w:style w:type="paragraph" w:styleId="BodyTextIndent2">
    <w:name w:val="Body Text Indent 2"/>
    <w:basedOn w:val="Normal"/>
    <w:rsid w:val="009B2AA3"/>
    <w:pPr>
      <w:spacing w:line="360" w:lineRule="auto"/>
      <w:ind w:left="2160" w:hanging="1800"/>
      <w:jc w:val="both"/>
    </w:pPr>
  </w:style>
  <w:style w:type="paragraph" w:styleId="BalloonText">
    <w:name w:val="Balloon Text"/>
    <w:basedOn w:val="Normal"/>
    <w:link w:val="BalloonTextChar"/>
    <w:rsid w:val="00E67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716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676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76E4"/>
  </w:style>
  <w:style w:type="paragraph" w:styleId="CommentSubject">
    <w:name w:val="annotation subject"/>
    <w:basedOn w:val="CommentText"/>
    <w:next w:val="CommentText"/>
    <w:link w:val="CommentSubjectChar"/>
    <w:rsid w:val="00B676E4"/>
    <w:rPr>
      <w:b/>
      <w:bCs/>
    </w:rPr>
  </w:style>
  <w:style w:type="character" w:customStyle="1" w:styleId="CommentSubjectChar">
    <w:name w:val="Comment Subject Char"/>
    <w:link w:val="CommentSubject"/>
    <w:rsid w:val="00B676E4"/>
    <w:rPr>
      <w:b/>
      <w:bCs/>
    </w:rPr>
  </w:style>
  <w:style w:type="paragraph" w:styleId="Revision">
    <w:name w:val="Revision"/>
    <w:hidden/>
    <w:uiPriority w:val="99"/>
    <w:semiHidden/>
    <w:rsid w:val="00CF6385"/>
    <w:rPr>
      <w:sz w:val="24"/>
      <w:szCs w:val="24"/>
    </w:rPr>
  </w:style>
  <w:style w:type="paragraph" w:styleId="Header">
    <w:name w:val="header"/>
    <w:basedOn w:val="Normal"/>
    <w:link w:val="HeaderChar"/>
    <w:rsid w:val="00B72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25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5FD"/>
    <w:rPr>
      <w:sz w:val="24"/>
      <w:szCs w:val="24"/>
    </w:rPr>
  </w:style>
  <w:style w:type="table" w:styleId="TableGrid">
    <w:name w:val="Table Grid"/>
    <w:basedOn w:val="TableNormal"/>
    <w:rsid w:val="00C5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2F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B72E7-6FCA-47B4-ACA8-1159DFBF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GRENADA</vt:lpstr>
    </vt:vector>
  </TitlesOfParts>
  <Company>Government of Grenada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GRENADA</dc:title>
  <dc:creator>KFREDERICK</dc:creator>
  <cp:lastModifiedBy>Linda Straker</cp:lastModifiedBy>
  <cp:revision>2</cp:revision>
  <cp:lastPrinted>2018-05-11T15:19:00Z</cp:lastPrinted>
  <dcterms:created xsi:type="dcterms:W3CDTF">2018-05-22T15:47:00Z</dcterms:created>
  <dcterms:modified xsi:type="dcterms:W3CDTF">2018-05-22T15:47:00Z</dcterms:modified>
</cp:coreProperties>
</file>