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ST TOWN OF ST GEORGE PAYMENT SCHEDULE</w:t>
      </w:r>
    </w:p>
    <w:p>
      <w:pPr>
        <w:jc w:val="center"/>
        <w:rPr>
          <w:b/>
          <w:sz w:val="24"/>
          <w:szCs w:val="24"/>
          <w:u w:val="single"/>
        </w:rPr>
      </w:pPr>
    </w:p>
    <w:tbl>
      <w:tblPr>
        <w:tblStyle w:val="3"/>
        <w:tblW w:w="0" w:type="auto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2429"/>
        <w:gridCol w:w="2343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06" w:type="dxa"/>
          </w:tcPr>
          <w:p>
            <w:pPr>
              <w:pStyle w:val="12"/>
              <w:spacing w:before="1"/>
              <w:ind w:left="52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9" w:type="dxa"/>
          </w:tcPr>
          <w:p>
            <w:pPr>
              <w:pStyle w:val="12"/>
              <w:spacing w:before="1"/>
              <w:ind w:left="788" w:right="789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343" w:type="dxa"/>
          </w:tcPr>
          <w:p>
            <w:pPr>
              <w:pStyle w:val="12"/>
              <w:spacing w:before="1"/>
              <w:ind w:left="842" w:right="842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69" w:type="dxa"/>
          </w:tcPr>
          <w:p>
            <w:pPr>
              <w:pStyle w:val="12"/>
              <w:spacing w:before="1"/>
              <w:ind w:left="897"/>
              <w:rPr>
                <w:b/>
              </w:rPr>
            </w:pPr>
            <w:r>
              <w:rPr>
                <w:b/>
              </w:rPr>
              <w:t>VILLAGES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706" w:type="dxa"/>
          </w:tcPr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spacing w:before="1"/>
              <w:jc w:val="center"/>
              <w:rPr>
                <w:b/>
                <w:sz w:val="29"/>
              </w:rPr>
            </w:pPr>
          </w:p>
          <w:p>
            <w:pPr>
              <w:pStyle w:val="12"/>
              <w:ind w:left="431" w:right="221" w:hanging="195"/>
              <w:jc w:val="center"/>
              <w:rPr>
                <w:rFonts w:hint="default"/>
                <w:lang w:val="en-US"/>
              </w:rPr>
            </w:pPr>
            <w:r>
              <w:t xml:space="preserve">WED. </w:t>
            </w:r>
            <w:r>
              <w:rPr>
                <w:rFonts w:hint="default"/>
                <w:lang w:val="en-US"/>
              </w:rPr>
              <w:t>18</w:t>
            </w:r>
            <w:r>
              <w:rPr>
                <w:rFonts w:hint="default"/>
                <w:vertAlign w:val="superscript"/>
                <w:lang w:val="en-US"/>
              </w:rPr>
              <w:t>TH</w:t>
            </w:r>
            <w:r>
              <w:rPr>
                <w:rFonts w:hint="default"/>
                <w:lang w:val="en-US"/>
              </w:rPr>
              <w:t xml:space="preserve"> MAY</w:t>
            </w:r>
          </w:p>
          <w:p>
            <w:pPr>
              <w:pStyle w:val="12"/>
              <w:ind w:left="431" w:right="221" w:hanging="195"/>
              <w:jc w:val="center"/>
              <w:rPr>
                <w:rFonts w:hint="default"/>
                <w:lang w:val="en-US"/>
              </w:rPr>
            </w:pPr>
            <w:r>
              <w:t>202</w:t>
            </w: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2429" w:type="dxa"/>
          </w:tcPr>
          <w:p>
            <w:pPr>
              <w:pStyle w:val="12"/>
              <w:rPr>
                <w:b/>
                <w:sz w:val="26"/>
              </w:rPr>
            </w:pPr>
          </w:p>
          <w:p>
            <w:pPr>
              <w:pStyle w:val="12"/>
              <w:spacing w:before="1"/>
              <w:rPr>
                <w:b/>
                <w:sz w:val="29"/>
              </w:rPr>
            </w:pPr>
          </w:p>
          <w:p>
            <w:pPr>
              <w:pStyle w:val="12"/>
              <w:ind w:left="100" w:right="249"/>
            </w:pPr>
            <w:r>
              <w:t>River Road Community Centre</w:t>
            </w:r>
          </w:p>
        </w:tc>
        <w:tc>
          <w:tcPr>
            <w:tcW w:w="2343" w:type="dxa"/>
          </w:tcPr>
          <w:p>
            <w:pPr>
              <w:pStyle w:val="12"/>
              <w:rPr>
                <w:b/>
                <w:sz w:val="26"/>
              </w:rPr>
            </w:pPr>
          </w:p>
          <w:p>
            <w:pPr>
              <w:pStyle w:val="12"/>
              <w:rPr>
                <w:b/>
                <w:sz w:val="26"/>
              </w:rPr>
            </w:pPr>
          </w:p>
          <w:p>
            <w:pPr>
              <w:pStyle w:val="12"/>
              <w:spacing w:before="166"/>
              <w:ind w:left="103"/>
            </w:pPr>
            <w:r>
              <w:t>8:30am–1:00pm</w:t>
            </w:r>
          </w:p>
        </w:tc>
        <w:tc>
          <w:tcPr>
            <w:tcW w:w="2969" w:type="dxa"/>
          </w:tcPr>
          <w:p>
            <w:pPr>
              <w:pStyle w:val="12"/>
              <w:spacing w:before="1"/>
              <w:ind w:right="1397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TREASURY</w:t>
            </w:r>
          </w:p>
          <w:p>
            <w:pPr>
              <w:pStyle w:val="12"/>
              <w:spacing w:before="1"/>
              <w:ind w:right="1397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ST. GEORGE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1706" w:type="dxa"/>
            <w:vMerge w:val="restart"/>
          </w:tcPr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spacing w:before="10"/>
              <w:jc w:val="center"/>
              <w:rPr>
                <w:b/>
                <w:sz w:val="35"/>
              </w:rPr>
            </w:pPr>
          </w:p>
          <w:p>
            <w:pPr>
              <w:pStyle w:val="12"/>
              <w:ind w:left="364" w:right="318" w:hanging="32"/>
              <w:jc w:val="center"/>
              <w:rPr>
                <w:rFonts w:hint="default"/>
                <w:lang w:val="en-US"/>
              </w:rPr>
            </w:pPr>
            <w:r>
              <w:t>Thu</w:t>
            </w:r>
            <w:r>
              <w:rPr>
                <w:rFonts w:hint="default"/>
                <w:lang w:val="en-US"/>
              </w:rPr>
              <w:t xml:space="preserve"> 19</w:t>
            </w:r>
            <w:r>
              <w:rPr>
                <w:rFonts w:hint="default"/>
                <w:vertAlign w:val="superscript"/>
                <w:lang w:val="en-US"/>
              </w:rPr>
              <w:t>TH</w:t>
            </w:r>
            <w:r>
              <w:rPr>
                <w:rFonts w:hint="default"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pStyle w:val="12"/>
              <w:ind w:left="364" w:right="318" w:hanging="32"/>
              <w:jc w:val="center"/>
              <w:rPr>
                <w:rFonts w:hint="default"/>
                <w:lang w:val="en-US"/>
              </w:rPr>
            </w:pPr>
            <w:r>
              <w:t>202</w:t>
            </w: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2429" w:type="dxa"/>
          </w:tcPr>
          <w:p>
            <w:pPr>
              <w:pStyle w:val="12"/>
              <w:rPr>
                <w:b/>
                <w:sz w:val="26"/>
              </w:rPr>
            </w:pPr>
          </w:p>
          <w:p>
            <w:pPr>
              <w:pStyle w:val="12"/>
              <w:rPr>
                <w:b/>
                <w:sz w:val="26"/>
              </w:rPr>
            </w:pPr>
          </w:p>
          <w:p>
            <w:pPr>
              <w:pStyle w:val="12"/>
              <w:spacing w:before="11"/>
              <w:rPr>
                <w:b/>
                <w:sz w:val="24"/>
              </w:rPr>
            </w:pPr>
          </w:p>
          <w:p>
            <w:pPr>
              <w:pStyle w:val="12"/>
              <w:ind w:left="100" w:right="570"/>
            </w:pPr>
            <w:r>
              <w:t>Marshall’s Shop H A Blaize St</w:t>
            </w:r>
          </w:p>
        </w:tc>
        <w:tc>
          <w:tcPr>
            <w:tcW w:w="2343" w:type="dxa"/>
          </w:tcPr>
          <w:p>
            <w:pPr>
              <w:pStyle w:val="12"/>
              <w:rPr>
                <w:b/>
                <w:sz w:val="26"/>
              </w:rPr>
            </w:pPr>
          </w:p>
          <w:p>
            <w:pPr>
              <w:pStyle w:val="12"/>
              <w:rPr>
                <w:b/>
                <w:sz w:val="26"/>
              </w:rPr>
            </w:pPr>
          </w:p>
          <w:p>
            <w:pPr>
              <w:pStyle w:val="12"/>
              <w:rPr>
                <w:b/>
                <w:sz w:val="36"/>
              </w:rPr>
            </w:pPr>
          </w:p>
          <w:p>
            <w:pPr>
              <w:pStyle w:val="12"/>
              <w:ind w:left="103"/>
            </w:pPr>
            <w:r>
              <w:t>8:30–9:30am</w:t>
            </w:r>
          </w:p>
        </w:tc>
        <w:tc>
          <w:tcPr>
            <w:tcW w:w="2969" w:type="dxa"/>
          </w:tcPr>
          <w:p>
            <w:pPr>
              <w:pStyle w:val="12"/>
              <w:spacing w:line="257" w:lineRule="exact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TREASURY</w:t>
            </w:r>
          </w:p>
          <w:p>
            <w:pPr>
              <w:pStyle w:val="12"/>
              <w:spacing w:line="257" w:lineRule="exact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ST. GEORGE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>
            <w:pPr>
              <w:pStyle w:val="12"/>
              <w:spacing w:before="2"/>
              <w:rPr>
                <w:b/>
              </w:rPr>
            </w:pPr>
          </w:p>
          <w:p>
            <w:pPr>
              <w:pStyle w:val="12"/>
              <w:ind w:left="100" w:right="561"/>
            </w:pPr>
            <w:r>
              <w:t>Home Payments (Town areas)</w:t>
            </w:r>
          </w:p>
        </w:tc>
        <w:tc>
          <w:tcPr>
            <w:tcW w:w="2343" w:type="dxa"/>
          </w:tcPr>
          <w:p>
            <w:pPr>
              <w:pStyle w:val="12"/>
              <w:rPr>
                <w:b/>
                <w:sz w:val="33"/>
              </w:rPr>
            </w:pPr>
          </w:p>
          <w:p>
            <w:pPr>
              <w:pStyle w:val="12"/>
              <w:ind w:left="103"/>
            </w:pPr>
            <w:r>
              <w:t>10:00–10:30am</w:t>
            </w:r>
          </w:p>
        </w:tc>
        <w:tc>
          <w:tcPr>
            <w:tcW w:w="2969" w:type="dxa"/>
          </w:tcPr>
          <w:p>
            <w:pPr>
              <w:pStyle w:val="12"/>
              <w:spacing w:before="1"/>
              <w:ind w:right="146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TREASURY</w:t>
            </w:r>
          </w:p>
          <w:p>
            <w:pPr>
              <w:pStyle w:val="12"/>
              <w:spacing w:before="1"/>
              <w:ind w:right="146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ST. GEORGE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>
            <w:pPr>
              <w:pStyle w:val="12"/>
              <w:spacing w:before="128"/>
              <w:ind w:left="100" w:right="561"/>
            </w:pPr>
            <w:r>
              <w:t>Home Payments (Lone elderly/Disable)</w:t>
            </w:r>
          </w:p>
        </w:tc>
        <w:tc>
          <w:tcPr>
            <w:tcW w:w="2343" w:type="dxa"/>
          </w:tcPr>
          <w:p>
            <w:pPr>
              <w:pStyle w:val="12"/>
              <w:rPr>
                <w:b/>
                <w:sz w:val="33"/>
              </w:rPr>
            </w:pPr>
          </w:p>
          <w:p>
            <w:pPr>
              <w:pStyle w:val="12"/>
              <w:ind w:left="103"/>
            </w:pPr>
            <w:r>
              <w:t>11:00 am-12:00pm</w:t>
            </w:r>
          </w:p>
        </w:tc>
        <w:tc>
          <w:tcPr>
            <w:tcW w:w="2969" w:type="dxa"/>
          </w:tcPr>
          <w:p>
            <w:pPr>
              <w:pStyle w:val="12"/>
              <w:spacing w:before="1"/>
              <w:ind w:right="896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TREASURY</w:t>
            </w:r>
          </w:p>
          <w:p>
            <w:pPr>
              <w:pStyle w:val="12"/>
              <w:spacing w:before="1"/>
              <w:ind w:right="896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ST. GEORGE</w:t>
            </w:r>
          </w:p>
        </w:tc>
      </w:tr>
    </w:tbl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92EB9"/>
    <w:rsid w:val="000C09C7"/>
    <w:rsid w:val="00116F43"/>
    <w:rsid w:val="00154CE3"/>
    <w:rsid w:val="001A155A"/>
    <w:rsid w:val="001D313B"/>
    <w:rsid w:val="001F7956"/>
    <w:rsid w:val="00233CC3"/>
    <w:rsid w:val="00295A33"/>
    <w:rsid w:val="002B7A8D"/>
    <w:rsid w:val="0032274C"/>
    <w:rsid w:val="00336EAB"/>
    <w:rsid w:val="00355B9C"/>
    <w:rsid w:val="0036147A"/>
    <w:rsid w:val="003E40BE"/>
    <w:rsid w:val="00435459"/>
    <w:rsid w:val="004433BD"/>
    <w:rsid w:val="004C24DC"/>
    <w:rsid w:val="004F105C"/>
    <w:rsid w:val="00521ED0"/>
    <w:rsid w:val="005D72DE"/>
    <w:rsid w:val="00617B42"/>
    <w:rsid w:val="00642EEC"/>
    <w:rsid w:val="006B48C1"/>
    <w:rsid w:val="007E7CF6"/>
    <w:rsid w:val="0080545F"/>
    <w:rsid w:val="008236DB"/>
    <w:rsid w:val="008470ED"/>
    <w:rsid w:val="008616A8"/>
    <w:rsid w:val="00880D03"/>
    <w:rsid w:val="008C2048"/>
    <w:rsid w:val="008C406C"/>
    <w:rsid w:val="008E574B"/>
    <w:rsid w:val="0093317D"/>
    <w:rsid w:val="009B532B"/>
    <w:rsid w:val="009E32C1"/>
    <w:rsid w:val="009F0E2D"/>
    <w:rsid w:val="00A04E3A"/>
    <w:rsid w:val="00A30E28"/>
    <w:rsid w:val="00A63ECE"/>
    <w:rsid w:val="00A80F4A"/>
    <w:rsid w:val="00A8699C"/>
    <w:rsid w:val="00AD0249"/>
    <w:rsid w:val="00B46AE2"/>
    <w:rsid w:val="00B55A9A"/>
    <w:rsid w:val="00BC51B6"/>
    <w:rsid w:val="00BC78C5"/>
    <w:rsid w:val="00BD4EB4"/>
    <w:rsid w:val="00C65B39"/>
    <w:rsid w:val="00C668FE"/>
    <w:rsid w:val="00C73AAF"/>
    <w:rsid w:val="00C97CAB"/>
    <w:rsid w:val="00D24AC2"/>
    <w:rsid w:val="00D57E0B"/>
    <w:rsid w:val="00D73BF8"/>
    <w:rsid w:val="00E416F4"/>
    <w:rsid w:val="00E47F7E"/>
    <w:rsid w:val="00E80EE5"/>
    <w:rsid w:val="00E910AA"/>
    <w:rsid w:val="00EB5F5C"/>
    <w:rsid w:val="00EB7790"/>
    <w:rsid w:val="00F2384E"/>
    <w:rsid w:val="00F65A9B"/>
    <w:rsid w:val="00F67B02"/>
    <w:rsid w:val="00FA4277"/>
    <w:rsid w:val="00FC49AE"/>
    <w:rsid w:val="1B2748DA"/>
    <w:rsid w:val="33F3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8BFA-063F-44D7-ACE1-490E21D532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50</TotalTime>
  <ScaleCrop>false</ScaleCrop>
  <LinksUpToDate>false</LinksUpToDate>
  <CharactersWithSpaces>622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2020-06-07T22:02:00Z</dcterms:created>
  <dc:creator>Windows User</dc:creator>
  <cp:lastModifiedBy>Deanne Edgar</cp:lastModifiedBy>
  <cp:lastPrinted>2020-06-07T21:55:00Z</cp:lastPrinted>
  <dcterms:modified xsi:type="dcterms:W3CDTF">2022-05-08T20:53:36Z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512CF00D24634BB1A46CBE7CBAD079C8</vt:lpwstr>
  </property>
</Properties>
</file>